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73025</wp:posOffset>
            </wp:positionV>
            <wp:extent cx="6189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117475</wp:posOffset>
            </wp:positionV>
            <wp:extent cx="6189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3, 2023</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135255</wp:posOffset>
            </wp:positionV>
            <wp:extent cx="6189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PERELLA WEINBERG PARTNERS</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79375</wp:posOffset>
            </wp:positionV>
            <wp:extent cx="6189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040" w:type="dxa"/>
        <w:tblCellMar>
          <w:top w:w="0" w:type="dxa"/>
          <w:left w:w="0" w:type="dxa"/>
          <w:bottom w:w="0" w:type="dxa"/>
          <w:right w:w="0" w:type="dxa"/>
        </w:tblCellMar>
      </w:tblPr>
      <w:tr>
        <w:trPr>
          <w:trHeight w:val="230"/>
        </w:trPr>
        <w:tc>
          <w:tcPr>
            <w:tcW w:w="4780" w:type="dxa"/>
            <w:vAlign w:val="bottom"/>
          </w:tcPr>
          <w:p>
            <w:pPr>
              <w:jc w:val="center"/>
              <w:ind w:right="1441"/>
              <w:spacing w:after="0"/>
              <w:rPr>
                <w:sz w:val="20"/>
                <w:szCs w:val="20"/>
                <w:color w:val="auto"/>
              </w:rPr>
            </w:pPr>
            <w:r>
              <w:rPr>
                <w:rFonts w:ascii="Arial" w:cs="Arial" w:eastAsia="Arial" w:hAnsi="Arial"/>
                <w:sz w:val="18"/>
                <w:szCs w:val="18"/>
                <w:b w:val="1"/>
                <w:bCs w:val="1"/>
                <w:color w:val="auto"/>
                <w:w w:val="93"/>
              </w:rPr>
              <w:t>Delaware</w:t>
            </w:r>
          </w:p>
        </w:tc>
        <w:tc>
          <w:tcPr>
            <w:tcW w:w="3420" w:type="dxa"/>
            <w:vAlign w:val="bottom"/>
          </w:tcPr>
          <w:p>
            <w:pPr>
              <w:jc w:val="right"/>
              <w:ind w:right="444"/>
              <w:spacing w:after="0"/>
              <w:rPr>
                <w:sz w:val="20"/>
                <w:szCs w:val="20"/>
                <w:color w:val="auto"/>
              </w:rPr>
            </w:pPr>
            <w:r>
              <w:rPr>
                <w:rFonts w:ascii="Arial" w:cs="Arial" w:eastAsia="Arial" w:hAnsi="Arial"/>
                <w:sz w:val="18"/>
                <w:szCs w:val="18"/>
                <w:b w:val="1"/>
                <w:bCs w:val="1"/>
                <w:color w:val="auto"/>
              </w:rPr>
              <w:t>84-1770732</w:t>
            </w:r>
          </w:p>
        </w:tc>
        <w:tc>
          <w:tcPr>
            <w:tcW w:w="0" w:type="dxa"/>
            <w:vAlign w:val="bottom"/>
          </w:tcPr>
          <w:p>
            <w:pPr>
              <w:spacing w:after="0"/>
              <w:rPr>
                <w:sz w:val="1"/>
                <w:szCs w:val="1"/>
                <w:color w:val="auto"/>
              </w:rPr>
            </w:pPr>
          </w:p>
        </w:tc>
      </w:tr>
      <w:tr>
        <w:trPr>
          <w:trHeight w:val="178"/>
        </w:trPr>
        <w:tc>
          <w:tcPr>
            <w:tcW w:w="4780" w:type="dxa"/>
            <w:vAlign w:val="bottom"/>
          </w:tcPr>
          <w:p>
            <w:pPr>
              <w:jc w:val="center"/>
              <w:ind w:right="1441"/>
              <w:spacing w:after="0"/>
              <w:rPr>
                <w:sz w:val="20"/>
                <w:szCs w:val="20"/>
                <w:color w:val="auto"/>
              </w:rPr>
            </w:pPr>
            <w:r>
              <w:rPr>
                <w:rFonts w:ascii="Arial" w:cs="Arial" w:eastAsia="Arial" w:hAnsi="Arial"/>
                <w:sz w:val="13"/>
                <w:szCs w:val="13"/>
                <w:b w:val="1"/>
                <w:bCs w:val="1"/>
                <w:color w:val="auto"/>
                <w:w w:val="87"/>
              </w:rPr>
              <w:t>( State or other jurisdiction of incorporation or organization)</w:t>
            </w:r>
          </w:p>
        </w:tc>
        <w:tc>
          <w:tcPr>
            <w:tcW w:w="3420" w:type="dxa"/>
            <w:vAlign w:val="bottom"/>
          </w:tcPr>
          <w:p>
            <w:pPr>
              <w:jc w:val="center"/>
              <w:ind w:left="1424"/>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r>
        <w:trPr>
          <w:trHeight w:val="273"/>
        </w:trPr>
        <w:tc>
          <w:tcPr>
            <w:tcW w:w="4780" w:type="dxa"/>
            <w:vAlign w:val="bottom"/>
          </w:tcPr>
          <w:p>
            <w:pPr>
              <w:jc w:val="center"/>
              <w:ind w:right="1441"/>
              <w:spacing w:after="0"/>
              <w:rPr>
                <w:sz w:val="20"/>
                <w:szCs w:val="20"/>
                <w:color w:val="auto"/>
              </w:rPr>
            </w:pPr>
            <w:r>
              <w:rPr>
                <w:rFonts w:ascii="Arial" w:cs="Arial" w:eastAsia="Arial" w:hAnsi="Arial"/>
                <w:sz w:val="18"/>
                <w:szCs w:val="18"/>
                <w:b w:val="1"/>
                <w:bCs w:val="1"/>
                <w:color w:val="auto"/>
                <w:w w:val="90"/>
              </w:rPr>
              <w:t>767 Fifth Avenue</w:t>
            </w:r>
          </w:p>
        </w:tc>
        <w:tc>
          <w:tcPr>
            <w:tcW w:w="3420" w:type="dxa"/>
            <w:vAlign w:val="bottom"/>
            <w:vMerge w:val="restart"/>
          </w:tcPr>
          <w:p>
            <w:pPr>
              <w:jc w:val="right"/>
              <w:ind w:right="664"/>
              <w:spacing w:after="0"/>
              <w:rPr>
                <w:sz w:val="20"/>
                <w:szCs w:val="20"/>
                <w:color w:val="auto"/>
              </w:rPr>
            </w:pPr>
            <w:r>
              <w:rPr>
                <w:rFonts w:ascii="Arial" w:cs="Arial" w:eastAsia="Arial" w:hAnsi="Arial"/>
                <w:sz w:val="18"/>
                <w:szCs w:val="18"/>
                <w:b w:val="1"/>
                <w:bCs w:val="1"/>
                <w:color w:val="auto"/>
              </w:rPr>
              <w:t>10153</w:t>
            </w:r>
          </w:p>
        </w:tc>
        <w:tc>
          <w:tcPr>
            <w:tcW w:w="0" w:type="dxa"/>
            <w:vAlign w:val="bottom"/>
          </w:tcPr>
          <w:p>
            <w:pPr>
              <w:spacing w:after="0"/>
              <w:rPr>
                <w:sz w:val="1"/>
                <w:szCs w:val="1"/>
                <w:color w:val="auto"/>
              </w:rPr>
            </w:pPr>
          </w:p>
        </w:tc>
      </w:tr>
      <w:tr>
        <w:trPr>
          <w:trHeight w:val="234"/>
        </w:trPr>
        <w:tc>
          <w:tcPr>
            <w:tcW w:w="4780" w:type="dxa"/>
            <w:vAlign w:val="bottom"/>
          </w:tcPr>
          <w:p>
            <w:pPr>
              <w:jc w:val="center"/>
              <w:ind w:right="1441"/>
              <w:spacing w:after="0"/>
              <w:rPr>
                <w:sz w:val="20"/>
                <w:szCs w:val="20"/>
                <w:color w:val="auto"/>
              </w:rPr>
            </w:pPr>
            <w:r>
              <w:rPr>
                <w:rFonts w:ascii="Arial" w:cs="Arial" w:eastAsia="Arial" w:hAnsi="Arial"/>
                <w:sz w:val="18"/>
                <w:szCs w:val="18"/>
                <w:b w:val="1"/>
                <w:bCs w:val="1"/>
                <w:color w:val="auto"/>
                <w:w w:val="93"/>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780" w:type="dxa"/>
            <w:vAlign w:val="bottom"/>
          </w:tcPr>
          <w:p>
            <w:pPr>
              <w:jc w:val="center"/>
              <w:ind w:right="146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420" w:type="dxa"/>
            <w:vAlign w:val="bottom"/>
          </w:tcPr>
          <w:p>
            <w:pPr>
              <w:jc w:val="center"/>
              <w:ind w:left="144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3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600" w:type="dxa"/>
            <w:vAlign w:val="bottom"/>
          </w:tcPr>
          <w:p>
            <w:pPr>
              <w:spacing w:after="0"/>
              <w:rPr>
                <w:sz w:val="17"/>
                <w:szCs w:val="17"/>
                <w:color w:val="auto"/>
              </w:rPr>
            </w:pPr>
          </w:p>
        </w:tc>
        <w:tc>
          <w:tcPr>
            <w:tcW w:w="3900" w:type="dxa"/>
            <w:vAlign w:val="bottom"/>
            <w:gridSpan w:val="3"/>
          </w:tcPr>
          <w:p>
            <w:pPr>
              <w:ind w:left="160"/>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14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462"/>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1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Symbol(s)</w:t>
            </w:r>
          </w:p>
        </w:tc>
        <w:tc>
          <w:tcPr>
            <w:tcW w:w="140" w:type="dxa"/>
            <w:vAlign w:val="bottom"/>
          </w:tcPr>
          <w:p>
            <w:pPr>
              <w:spacing w:after="0"/>
              <w:rPr>
                <w:sz w:val="24"/>
                <w:szCs w:val="24"/>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6"/>
        </w:trPr>
        <w:tc>
          <w:tcPr>
            <w:tcW w:w="3600" w:type="dxa"/>
            <w:vAlign w:val="bottom"/>
          </w:tcPr>
          <w:p>
            <w:pPr>
              <w:ind w:left="20"/>
              <w:spacing w:after="0"/>
              <w:rPr>
                <w:sz w:val="20"/>
                <w:szCs w:val="20"/>
                <w:color w:val="auto"/>
              </w:rPr>
            </w:pPr>
            <w:r>
              <w:rPr>
                <w:rFonts w:ascii="Arial" w:cs="Arial" w:eastAsia="Arial" w:hAnsi="Arial"/>
                <w:sz w:val="16"/>
                <w:szCs w:val="16"/>
                <w:color w:val="auto"/>
                <w:w w:val="94"/>
              </w:rPr>
              <w:t>Class A Common Stock, par value $0.0001 per share</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ind w:left="20"/>
              <w:spacing w:after="0"/>
              <w:rPr>
                <w:sz w:val="20"/>
                <w:szCs w:val="20"/>
                <w:color w:val="auto"/>
              </w:rPr>
            </w:pPr>
            <w:r>
              <w:rPr>
                <w:rFonts w:ascii="Arial" w:cs="Arial" w:eastAsia="Arial" w:hAnsi="Arial"/>
                <w:sz w:val="16"/>
                <w:szCs w:val="16"/>
                <w:color w:val="auto"/>
              </w:rPr>
              <w:t>PWP</w:t>
            </w:r>
          </w:p>
        </w:tc>
        <w:tc>
          <w:tcPr>
            <w:tcW w:w="140" w:type="dxa"/>
            <w:vAlign w:val="bottom"/>
          </w:tcPr>
          <w:p>
            <w:pPr>
              <w:spacing w:after="0"/>
              <w:rPr>
                <w:sz w:val="17"/>
                <w:szCs w:val="17"/>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r>
    </w:tbl>
    <w:p>
      <w:pPr>
        <w:spacing w:after="0" w:line="316"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680"/>
        <w:spacing w:after="0" w:line="207" w:lineRule="exact"/>
        <w:tabs>
          <w:tab w:leader="none" w:pos="109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00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 2023, Perella Weinberg Partners (the “Company”) issued a press release announcing its financial results for the fiscal quarter ended June 30, 2023.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6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430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87"/>
              </w:rPr>
              <w:t>Press Release Issued by the Company dated August 3, 2023</w:t>
            </w:r>
          </w:p>
        </w:tc>
        <w:tc>
          <w:tcPr>
            <w:tcW w:w="554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continue"/>
          </w:tcPr>
          <w:p>
            <w:pPr>
              <w:spacing w:after="0" w:line="20" w:lineRule="exact"/>
              <w:rPr>
                <w:sz w:val="1"/>
                <w:szCs w:val="1"/>
                <w:color w:val="auto"/>
              </w:rPr>
            </w:pPr>
          </w:p>
        </w:tc>
        <w:tc>
          <w:tcPr>
            <w:tcW w:w="320" w:type="dxa"/>
            <w:vAlign w:val="bottom"/>
            <w:tcBorders>
              <w:bottom w:val="single" w:sz="8" w:color="0000FF"/>
            </w:tcBorders>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5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PERELLA WEINBERG PARTNERS</w:t>
      </w:r>
    </w:p>
    <w:p>
      <w:pPr>
        <w:spacing w:after="0" w:line="306" w:lineRule="exact"/>
        <w:rPr>
          <w:sz w:val="20"/>
          <w:szCs w:val="20"/>
          <w:color w:val="auto"/>
        </w:rPr>
      </w:pPr>
    </w:p>
    <w:p>
      <w:pPr>
        <w:ind w:left="688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14605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Gary Barancik</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Chief Financial Officer</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2023</w:t>
      </w:r>
    </w:p>
    <w:p>
      <w:pPr>
        <w:sectPr>
          <w:pgSz w:w="11900" w:h="16838" w:orient="portrait"/>
          <w:cols w:equalWidth="0" w:num="1">
            <w:col w:w="10920"/>
          </w:cols>
          <w:pgMar w:left="320" w:top="783"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825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308610"/>
                    </a:xfrm>
                    <a:prstGeom prst="rect">
                      <a:avLst/>
                    </a:prstGeom>
                    <a:noFill/>
                  </pic:spPr>
                </pic:pic>
              </a:graphicData>
            </a:graphic>
          </wp:anchor>
        </w:drawing>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29"/>
          <w:szCs w:val="29"/>
          <w:color w:val="auto"/>
        </w:rPr>
        <w:t>Perella Weinberg Reports Second Quarter 2023 Results</w:t>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Second Quarter</w:t>
      </w:r>
    </w:p>
    <w:p>
      <w:pPr>
        <w:spacing w:after="0" w:line="199" w:lineRule="exact"/>
        <w:rPr>
          <w:sz w:val="20"/>
          <w:szCs w:val="20"/>
          <w:color w:val="auto"/>
        </w:rPr>
      </w:pPr>
    </w:p>
    <w:p>
      <w:pPr>
        <w:ind w:left="580" w:hanging="329"/>
        <w:spacing w:after="0"/>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Revenues of $166 Million, Up 10% From a Year Ago and Up 26% From Last Quarter</w:t>
      </w:r>
    </w:p>
    <w:p>
      <w:pPr>
        <w:spacing w:after="0" w:line="188" w:lineRule="exact"/>
        <w:rPr>
          <w:rFonts w:ascii="Arial" w:cs="Arial" w:eastAsia="Arial" w:hAnsi="Arial"/>
          <w:sz w:val="20"/>
          <w:szCs w:val="20"/>
          <w:color w:val="auto"/>
        </w:rPr>
      </w:pPr>
    </w:p>
    <w:p>
      <w:pPr>
        <w:ind w:left="580" w:hanging="329"/>
        <w:spacing w:after="0"/>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Operating Income Margin of 9.4%, GAAP Operating Loss Margin of (13.1)%</w:t>
      </w:r>
    </w:p>
    <w:p>
      <w:pPr>
        <w:spacing w:after="0" w:line="188" w:lineRule="exact"/>
        <w:rPr>
          <w:rFonts w:ascii="Arial" w:cs="Arial" w:eastAsia="Arial" w:hAnsi="Arial"/>
          <w:sz w:val="20"/>
          <w:szCs w:val="20"/>
          <w:color w:val="auto"/>
        </w:rPr>
      </w:pPr>
    </w:p>
    <w:p>
      <w:pPr>
        <w:ind w:left="580" w:hanging="329"/>
        <w:spacing w:after="0"/>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EPS of $0.16; GAAP Diluted EPS of $(0.19)</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 - First Half</w:t>
      </w:r>
    </w:p>
    <w:p>
      <w:pPr>
        <w:spacing w:after="0" w:line="199" w:lineRule="exact"/>
        <w:rPr>
          <w:sz w:val="20"/>
          <w:szCs w:val="20"/>
          <w:color w:val="auto"/>
        </w:rPr>
      </w:pPr>
    </w:p>
    <w:p>
      <w:pPr>
        <w:ind w:left="580" w:hanging="329"/>
        <w:spacing w:after="0"/>
        <w:tabs>
          <w:tab w:leader="none" w:pos="5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$297 Million, Down 2% From a Year Ago</w:t>
      </w:r>
    </w:p>
    <w:p>
      <w:pPr>
        <w:spacing w:after="0" w:line="188" w:lineRule="exact"/>
        <w:rPr>
          <w:rFonts w:ascii="Arial" w:cs="Arial" w:eastAsia="Arial" w:hAnsi="Arial"/>
          <w:sz w:val="20"/>
          <w:szCs w:val="20"/>
          <w:color w:val="auto"/>
        </w:rPr>
      </w:pPr>
    </w:p>
    <w:p>
      <w:pPr>
        <w:ind w:left="580" w:hanging="329"/>
        <w:spacing w:after="0"/>
        <w:tabs>
          <w:tab w:leader="none" w:pos="5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Operating Income Margin of 9.1%, GAAP Operating Loss Margin of (15.0)%</w:t>
      </w:r>
    </w:p>
    <w:p>
      <w:pPr>
        <w:spacing w:after="0" w:line="188" w:lineRule="exact"/>
        <w:rPr>
          <w:rFonts w:ascii="Arial" w:cs="Arial" w:eastAsia="Arial" w:hAnsi="Arial"/>
          <w:sz w:val="20"/>
          <w:szCs w:val="20"/>
          <w:color w:val="auto"/>
        </w:rPr>
      </w:pPr>
    </w:p>
    <w:p>
      <w:pPr>
        <w:ind w:left="580" w:hanging="329"/>
        <w:spacing w:after="0"/>
        <w:tabs>
          <w:tab w:leader="none" w:pos="5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of $0.25; GAAP Diluted EPS of $(0.56)</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Talent Investment and Strategic Actions</w:t>
      </w:r>
    </w:p>
    <w:p>
      <w:pPr>
        <w:spacing w:after="0" w:line="199" w:lineRule="exact"/>
        <w:rPr>
          <w:sz w:val="20"/>
          <w:szCs w:val="20"/>
          <w:color w:val="auto"/>
        </w:rPr>
      </w:pPr>
    </w:p>
    <w:p>
      <w:pPr>
        <w:ind w:left="580" w:hanging="329"/>
        <w:spacing w:after="0"/>
        <w:tabs>
          <w:tab w:leader="none" w:pos="58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Continue to Add Senior Bankers to Expand Client Coverage Footprint and Accelerate Growth</w:t>
      </w:r>
    </w:p>
    <w:p>
      <w:pPr>
        <w:spacing w:after="0" w:line="188" w:lineRule="exact"/>
        <w:rPr>
          <w:rFonts w:ascii="Arial" w:cs="Arial" w:eastAsia="Arial" w:hAnsi="Arial"/>
          <w:sz w:val="20"/>
          <w:szCs w:val="20"/>
          <w:i w:val="1"/>
          <w:iCs w:val="1"/>
          <w:color w:val="auto"/>
        </w:rPr>
      </w:pPr>
    </w:p>
    <w:p>
      <w:pPr>
        <w:ind w:left="580" w:hanging="329"/>
        <w:spacing w:after="0"/>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Year-To-Date Added Four New Partners and Eight New Managing Directors</w:t>
      </w:r>
    </w:p>
    <w:p>
      <w:pPr>
        <w:spacing w:after="0" w:line="188" w:lineRule="exact"/>
        <w:rPr>
          <w:rFonts w:ascii="Arial" w:cs="Arial" w:eastAsia="Arial" w:hAnsi="Arial"/>
          <w:sz w:val="20"/>
          <w:szCs w:val="20"/>
          <w:color w:val="auto"/>
        </w:rPr>
      </w:pPr>
    </w:p>
    <w:p>
      <w:pPr>
        <w:ind w:left="580" w:hanging="329"/>
        <w:spacing w:after="0"/>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Two Additional Partners Expected to Join Firm in the Third Quarter</w:t>
      </w:r>
    </w:p>
    <w:p>
      <w:pPr>
        <w:spacing w:after="0" w:line="188" w:lineRule="exact"/>
        <w:rPr>
          <w:rFonts w:ascii="Arial" w:cs="Arial" w:eastAsia="Arial" w:hAnsi="Arial"/>
          <w:sz w:val="20"/>
          <w:szCs w:val="20"/>
          <w:color w:val="auto"/>
        </w:rPr>
      </w:pPr>
    </w:p>
    <w:p>
      <w:pPr>
        <w:ind w:left="580" w:hanging="329"/>
        <w:spacing w:after="0"/>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Business Realignment Initiative Undertaken to Advance Strategic Opportunities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Capital Management</w:t>
      </w:r>
    </w:p>
    <w:p>
      <w:pPr>
        <w:spacing w:after="0" w:line="199" w:lineRule="exact"/>
        <w:rPr>
          <w:sz w:val="20"/>
          <w:szCs w:val="20"/>
          <w:color w:val="auto"/>
        </w:rPr>
      </w:pPr>
    </w:p>
    <w:p>
      <w:pPr>
        <w:ind w:left="580" w:hanging="329"/>
        <w:spacing w:after="0"/>
        <w:tabs>
          <w:tab w:leader="none" w:pos="58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Strong Balance Sheet with $180 Million of Cash and Short-Term Investments and No Debt</w:t>
      </w:r>
    </w:p>
    <w:p>
      <w:pPr>
        <w:spacing w:after="0" w:line="188" w:lineRule="exact"/>
        <w:rPr>
          <w:rFonts w:ascii="Arial" w:cs="Arial" w:eastAsia="Arial" w:hAnsi="Arial"/>
          <w:sz w:val="20"/>
          <w:szCs w:val="20"/>
          <w:i w:val="1"/>
          <w:iCs w:val="1"/>
          <w:color w:val="auto"/>
        </w:rPr>
      </w:pPr>
    </w:p>
    <w:p>
      <w:pPr>
        <w:ind w:left="580" w:hanging="329"/>
        <w:spacing w:after="0"/>
        <w:tabs>
          <w:tab w:leader="none" w:pos="580" w:val="left"/>
        </w:tabs>
        <w:numPr>
          <w:ilvl w:val="0"/>
          <w:numId w:val="5"/>
        </w:numPr>
        <w:rPr>
          <w:rFonts w:ascii="Arial" w:cs="Arial" w:eastAsia="Arial" w:hAnsi="Arial"/>
          <w:sz w:val="20"/>
          <w:szCs w:val="20"/>
          <w:color w:val="auto"/>
        </w:rPr>
      </w:pPr>
      <w:r>
        <w:rPr>
          <w:rFonts w:ascii="Arial" w:cs="Arial" w:eastAsia="Arial" w:hAnsi="Arial"/>
          <w:sz w:val="20"/>
          <w:szCs w:val="20"/>
          <w:color w:val="auto"/>
        </w:rPr>
        <w:t>Year-to-Date Repurchased 3.6 Million Shares and Equivalents</w:t>
      </w:r>
    </w:p>
    <w:p>
      <w:pPr>
        <w:spacing w:after="0" w:line="188" w:lineRule="exact"/>
        <w:rPr>
          <w:rFonts w:ascii="Arial" w:cs="Arial" w:eastAsia="Arial" w:hAnsi="Arial"/>
          <w:sz w:val="20"/>
          <w:szCs w:val="20"/>
          <w:color w:val="auto"/>
        </w:rPr>
      </w:pPr>
    </w:p>
    <w:p>
      <w:pPr>
        <w:ind w:left="580" w:hanging="329"/>
        <w:spacing w:after="0"/>
        <w:tabs>
          <w:tab w:leader="none" w:pos="580"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Declared Quarterly Dividend of $0.07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8255"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78867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260" w:right="120"/>
        <w:spacing w:after="0" w:line="317" w:lineRule="auto"/>
        <w:rPr>
          <w:sz w:val="20"/>
          <w:szCs w:val="20"/>
          <w:color w:val="auto"/>
        </w:rPr>
      </w:pPr>
      <w:r>
        <w:rPr>
          <w:rFonts w:ascii="Arial" w:cs="Arial" w:eastAsia="Arial" w:hAnsi="Arial"/>
          <w:sz w:val="20"/>
          <w:szCs w:val="20"/>
          <w:color w:val="auto"/>
        </w:rPr>
        <w:t>“We produced solid results in a challenging M&amp;A market environment, delivering quarterly revenue growth year-over-year for the first time since 2021, supported by the strength of our brand and the quality of our team globally. We continue to selectively add exceptional talent to our platform – furthering our mission to achieve scale, accelerate growth and drive value for our shareholders,” stated Andrew Bednar, Chief Executive Officer.</w:t>
      </w:r>
    </w:p>
    <w:p>
      <w:pPr>
        <w:spacing w:after="0" w:line="200" w:lineRule="exact"/>
        <w:rPr>
          <w:sz w:val="20"/>
          <w:szCs w:val="20"/>
          <w:color w:val="auto"/>
        </w:rPr>
      </w:pPr>
    </w:p>
    <w:p>
      <w:pPr>
        <w:spacing w:after="0" w:line="249" w:lineRule="exact"/>
        <w:rPr>
          <w:sz w:val="20"/>
          <w:szCs w:val="20"/>
          <w:color w:val="auto"/>
        </w:rPr>
      </w:pPr>
    </w:p>
    <w:p>
      <w:pPr>
        <w:ind w:right="200"/>
        <w:spacing w:after="0" w:line="342" w:lineRule="auto"/>
        <w:rPr>
          <w:sz w:val="20"/>
          <w:szCs w:val="20"/>
          <w:color w:val="auto"/>
        </w:rPr>
      </w:pPr>
      <w:r>
        <w:rPr>
          <w:rFonts w:ascii="Arial" w:cs="Arial" w:eastAsia="Arial" w:hAnsi="Arial"/>
          <w:sz w:val="20"/>
          <w:szCs w:val="20"/>
          <w:b w:val="1"/>
          <w:bCs w:val="1"/>
          <w:color w:val="auto"/>
        </w:rPr>
        <w:t xml:space="preserve">NEW YORK, NY, August 3, 2023 </w:t>
      </w:r>
      <w:r>
        <w:rPr>
          <w:rFonts w:ascii="Arial" w:cs="Arial" w:eastAsia="Arial" w:hAnsi="Arial"/>
          <w:sz w:val="20"/>
          <w:szCs w:val="20"/>
          <w:color w:val="auto"/>
        </w:rPr>
        <w:t>– Perella Weinberg Partners (the “Firm” or “PWP”) (NASDAQ:PWP) today reported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second quarter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8"/>
        <w:spacing w:after="0" w:line="257" w:lineRule="auto"/>
        <w:tabs>
          <w:tab w:leader="none" w:pos="9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4"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CFO Transition</w:t>
      </w:r>
    </w:p>
    <w:p>
      <w:pPr>
        <w:spacing w:after="0" w:line="307"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With this morning’s results, PWP announced that, effective December 31, 2023, Gary Barancik will be stepping down from his role as Chief Financial Officer. Mr. Barancik joined PWP as an Advisory Partner at its founding in 2006, became its Chief Financial Officer in 2018, and has led the finance organization through PWP’s transition to a public company. Alexandra Gottschalk, who has been with the Firm for over 12 years, including five years as its Chief Accounting Officer, will become Chief Financial Officer effective January 1, 2024.</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Revenues</w:t>
      </w:r>
    </w:p>
    <w:p>
      <w:pPr>
        <w:spacing w:after="0" w:line="293"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For the second quarter of 2023, revenues were $165.5 million, an increase of 10% from $151.1 million from the second quarter of 2022. The period-over-period growth was driven by increased mergers and acquisition activity. Revenues attributed to financing and capital solutions were largely flat in the period.</w:t>
      </w:r>
    </w:p>
    <w:p>
      <w:pPr>
        <w:spacing w:after="0" w:line="214"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For the first half of 2023, revenues were $297.0 million, a decrease of 2% from $303.0 million from the first half of 2022. Mergers and acquisition activity was modestly up period-over-period but was offset by lower financing and capital solutions revenues due to certain large fee events in the year ago period.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Expenses</w:t>
      </w:r>
    </w:p>
    <w:p>
      <w:pPr>
        <w:spacing w:after="0" w:line="58"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1740" w:type="dxa"/>
            <w:vAlign w:val="bottom"/>
          </w:tcPr>
          <w:p>
            <w:pPr>
              <w:spacing w:after="0"/>
              <w:rPr>
                <w:sz w:val="20"/>
                <w:szCs w:val="20"/>
                <w:color w:val="auto"/>
              </w:rPr>
            </w:pPr>
          </w:p>
        </w:tc>
        <w:tc>
          <w:tcPr>
            <w:tcW w:w="140" w:type="dxa"/>
            <w:vAlign w:val="bottom"/>
            <w:tcBorders>
              <w:bottom w:val="single" w:sz="8" w:color="B6B6B6"/>
            </w:tcBorders>
          </w:tcPr>
          <w:p>
            <w:pPr>
              <w:spacing w:after="0"/>
              <w:rPr>
                <w:sz w:val="20"/>
                <w:szCs w:val="20"/>
                <w:color w:val="auto"/>
              </w:rPr>
            </w:pPr>
          </w:p>
        </w:tc>
        <w:tc>
          <w:tcPr>
            <w:tcW w:w="2120" w:type="dxa"/>
            <w:vAlign w:val="bottom"/>
            <w:tcBorders>
              <w:bottom w:val="single" w:sz="8" w:color="B6B6B6"/>
            </w:tcBorders>
            <w:gridSpan w:val="3"/>
          </w:tcPr>
          <w:p>
            <w:pPr>
              <w:jc w:val="right"/>
              <w:ind w:right="610"/>
              <w:spacing w:after="0"/>
              <w:rPr>
                <w:sz w:val="20"/>
                <w:szCs w:val="20"/>
                <w:color w:val="auto"/>
              </w:rPr>
            </w:pPr>
            <w:r>
              <w:rPr>
                <w:rFonts w:ascii="Arial" w:cs="Arial" w:eastAsia="Arial" w:hAnsi="Arial"/>
                <w:sz w:val="18"/>
                <w:szCs w:val="18"/>
                <w:b w:val="1"/>
                <w:bCs w:val="1"/>
                <w:color w:val="503C64"/>
              </w:rPr>
              <w:t>U.S. GAAP</w:t>
            </w:r>
          </w:p>
        </w:tc>
        <w:tc>
          <w:tcPr>
            <w:tcW w:w="200" w:type="dxa"/>
            <w:vAlign w:val="bottom"/>
            <w:tcBorders>
              <w:bottom w:val="single" w:sz="8" w:color="B6B6B6"/>
            </w:tcBorders>
          </w:tcPr>
          <w:p>
            <w:pPr>
              <w:spacing w:after="0"/>
              <w:rPr>
                <w:sz w:val="20"/>
                <w:szCs w:val="20"/>
                <w:color w:val="auto"/>
              </w:rPr>
            </w:pPr>
          </w:p>
        </w:tc>
        <w:tc>
          <w:tcPr>
            <w:tcW w:w="1980" w:type="dxa"/>
            <w:vAlign w:val="bottom"/>
            <w:tcBorders>
              <w:bottom w:val="single" w:sz="8" w:color="B6B6B6"/>
            </w:tcBorders>
            <w:gridSpan w:val="3"/>
          </w:tcPr>
          <w:p>
            <w:pPr>
              <w:jc w:val="right"/>
              <w:ind w:right="593"/>
              <w:spacing w:after="0"/>
              <w:rPr>
                <w:sz w:val="20"/>
                <w:szCs w:val="20"/>
                <w:color w:val="auto"/>
              </w:rPr>
            </w:pPr>
            <w:r>
              <w:rPr>
                <w:rFonts w:ascii="Arial" w:cs="Arial" w:eastAsia="Arial" w:hAnsi="Arial"/>
                <w:sz w:val="18"/>
                <w:szCs w:val="18"/>
                <w:b w:val="1"/>
                <w:bCs w:val="1"/>
                <w:color w:val="503C64"/>
              </w:rPr>
              <w:t>Adjusted</w:t>
            </w:r>
          </w:p>
        </w:tc>
        <w:tc>
          <w:tcPr>
            <w:tcW w:w="100" w:type="dxa"/>
            <w:vAlign w:val="bottom"/>
          </w:tcPr>
          <w:p>
            <w:pPr>
              <w:spacing w:after="0"/>
              <w:rPr>
                <w:sz w:val="20"/>
                <w:szCs w:val="20"/>
                <w:color w:val="auto"/>
              </w:rPr>
            </w:pPr>
          </w:p>
        </w:tc>
        <w:tc>
          <w:tcPr>
            <w:tcW w:w="140" w:type="dxa"/>
            <w:vAlign w:val="bottom"/>
            <w:tcBorders>
              <w:bottom w:val="single" w:sz="8" w:color="B6B6B6"/>
            </w:tcBorders>
          </w:tcPr>
          <w:p>
            <w:pPr>
              <w:spacing w:after="0"/>
              <w:rPr>
                <w:sz w:val="20"/>
                <w:szCs w:val="20"/>
                <w:color w:val="auto"/>
              </w:rPr>
            </w:pPr>
          </w:p>
        </w:tc>
        <w:tc>
          <w:tcPr>
            <w:tcW w:w="2120" w:type="dxa"/>
            <w:vAlign w:val="bottom"/>
            <w:tcBorders>
              <w:bottom w:val="single" w:sz="8" w:color="B6B6B6"/>
            </w:tcBorders>
            <w:gridSpan w:val="3"/>
          </w:tcPr>
          <w:p>
            <w:pPr>
              <w:jc w:val="right"/>
              <w:ind w:right="610"/>
              <w:spacing w:after="0"/>
              <w:rPr>
                <w:sz w:val="20"/>
                <w:szCs w:val="20"/>
                <w:color w:val="auto"/>
              </w:rPr>
            </w:pPr>
            <w:r>
              <w:rPr>
                <w:rFonts w:ascii="Arial" w:cs="Arial" w:eastAsia="Arial" w:hAnsi="Arial"/>
                <w:sz w:val="18"/>
                <w:szCs w:val="18"/>
                <w:b w:val="1"/>
                <w:bCs w:val="1"/>
                <w:color w:val="503C64"/>
              </w:rPr>
              <w:t>U.S. GAAP</w:t>
            </w:r>
          </w:p>
        </w:tc>
        <w:tc>
          <w:tcPr>
            <w:tcW w:w="200" w:type="dxa"/>
            <w:vAlign w:val="bottom"/>
            <w:tcBorders>
              <w:bottom w:val="single" w:sz="8" w:color="B6B6B6"/>
            </w:tcBorders>
          </w:tcPr>
          <w:p>
            <w:pPr>
              <w:spacing w:after="0"/>
              <w:rPr>
                <w:sz w:val="20"/>
                <w:szCs w:val="20"/>
                <w:color w:val="auto"/>
              </w:rPr>
            </w:pPr>
          </w:p>
        </w:tc>
        <w:tc>
          <w:tcPr>
            <w:tcW w:w="2080" w:type="dxa"/>
            <w:vAlign w:val="bottom"/>
            <w:tcBorders>
              <w:bottom w:val="single" w:sz="8" w:color="B6B6B6"/>
            </w:tcBorders>
            <w:gridSpan w:val="3"/>
          </w:tcPr>
          <w:p>
            <w:pPr>
              <w:jc w:val="right"/>
              <w:ind w:right="630"/>
              <w:spacing w:after="0"/>
              <w:rPr>
                <w:sz w:val="20"/>
                <w:szCs w:val="20"/>
                <w:color w:val="auto"/>
              </w:rPr>
            </w:pPr>
            <w:r>
              <w:rPr>
                <w:rFonts w:ascii="Arial" w:cs="Arial" w:eastAsia="Arial" w:hAnsi="Arial"/>
                <w:sz w:val="18"/>
                <w:szCs w:val="18"/>
                <w:b w:val="1"/>
                <w:bCs w:val="1"/>
                <w:color w:val="503C64"/>
              </w:rPr>
              <w:t>Adjusted</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140" w:type="dxa"/>
            <w:vAlign w:val="bottom"/>
            <w:tcBorders>
              <w:bottom w:val="single" w:sz="8" w:color="B6B6B6"/>
            </w:tcBorders>
          </w:tcPr>
          <w:p>
            <w:pPr>
              <w:spacing w:after="0"/>
              <w:rPr>
                <w:sz w:val="19"/>
                <w:szCs w:val="19"/>
                <w:color w:val="auto"/>
              </w:rPr>
            </w:pPr>
          </w:p>
        </w:tc>
        <w:tc>
          <w:tcPr>
            <w:tcW w:w="3480" w:type="dxa"/>
            <w:vAlign w:val="bottom"/>
            <w:tcBorders>
              <w:bottom w:val="single" w:sz="8" w:color="B6B6B6"/>
            </w:tcBorders>
            <w:gridSpan w:val="6"/>
          </w:tcPr>
          <w:p>
            <w:pPr>
              <w:jc w:val="right"/>
              <w:ind w:right="30"/>
              <w:spacing w:after="0"/>
              <w:rPr>
                <w:sz w:val="20"/>
                <w:szCs w:val="20"/>
                <w:color w:val="auto"/>
              </w:rPr>
            </w:pPr>
            <w:r>
              <w:rPr>
                <w:rFonts w:ascii="Arial" w:cs="Arial" w:eastAsia="Arial" w:hAnsi="Arial"/>
                <w:sz w:val="18"/>
                <w:szCs w:val="18"/>
                <w:b w:val="1"/>
                <w:bCs w:val="1"/>
                <w:color w:val="503C64"/>
              </w:rPr>
              <w:t>Three Months Ended June 30,</w:t>
            </w:r>
          </w:p>
        </w:tc>
        <w:tc>
          <w:tcPr>
            <w:tcW w:w="820" w:type="dxa"/>
            <w:vAlign w:val="bottom"/>
            <w:tcBorders>
              <w:bottom w:val="single" w:sz="8" w:color="B6B6B6"/>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B6B6B6"/>
            </w:tcBorders>
          </w:tcPr>
          <w:p>
            <w:pPr>
              <w:spacing w:after="0"/>
              <w:rPr>
                <w:sz w:val="19"/>
                <w:szCs w:val="19"/>
                <w:color w:val="auto"/>
              </w:rPr>
            </w:pPr>
          </w:p>
        </w:tc>
        <w:tc>
          <w:tcPr>
            <w:tcW w:w="940" w:type="dxa"/>
            <w:vAlign w:val="bottom"/>
            <w:tcBorders>
              <w:bottom w:val="single" w:sz="8" w:color="B6B6B6"/>
            </w:tcBorders>
          </w:tcPr>
          <w:p>
            <w:pPr>
              <w:spacing w:after="0"/>
              <w:rPr>
                <w:sz w:val="19"/>
                <w:szCs w:val="19"/>
                <w:color w:val="auto"/>
              </w:rPr>
            </w:pPr>
          </w:p>
        </w:tc>
        <w:tc>
          <w:tcPr>
            <w:tcW w:w="2380" w:type="dxa"/>
            <w:vAlign w:val="bottom"/>
            <w:tcBorders>
              <w:bottom w:val="single" w:sz="8" w:color="B6B6B6"/>
            </w:tcBorders>
            <w:gridSpan w:val="4"/>
          </w:tcPr>
          <w:p>
            <w:pPr>
              <w:jc w:val="right"/>
              <w:spacing w:after="0"/>
              <w:rPr>
                <w:sz w:val="20"/>
                <w:szCs w:val="20"/>
                <w:color w:val="auto"/>
              </w:rPr>
            </w:pPr>
            <w:r>
              <w:rPr>
                <w:rFonts w:ascii="Arial" w:cs="Arial" w:eastAsia="Arial" w:hAnsi="Arial"/>
                <w:sz w:val="18"/>
                <w:szCs w:val="18"/>
                <w:b w:val="1"/>
                <w:bCs w:val="1"/>
                <w:color w:val="503C64"/>
              </w:rPr>
              <w:t>Six Months Ended June 30,</w:t>
            </w:r>
          </w:p>
        </w:tc>
        <w:tc>
          <w:tcPr>
            <w:tcW w:w="160" w:type="dxa"/>
            <w:vAlign w:val="bottom"/>
            <w:tcBorders>
              <w:bottom w:val="single" w:sz="8" w:color="B6B6B6"/>
            </w:tcBorders>
          </w:tcPr>
          <w:p>
            <w:pPr>
              <w:spacing w:after="0"/>
              <w:rPr>
                <w:sz w:val="19"/>
                <w:szCs w:val="19"/>
                <w:color w:val="auto"/>
              </w:rPr>
            </w:pPr>
          </w:p>
        </w:tc>
        <w:tc>
          <w:tcPr>
            <w:tcW w:w="92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B6B6B6"/>
            </w:tcBorders>
          </w:tcPr>
          <w:p>
            <w:pPr>
              <w:spacing w:after="0"/>
              <w:rPr>
                <w:sz w:val="20"/>
                <w:szCs w:val="20"/>
                <w:color w:val="auto"/>
              </w:rPr>
            </w:pPr>
          </w:p>
        </w:tc>
        <w:tc>
          <w:tcPr>
            <w:tcW w:w="140" w:type="dxa"/>
            <w:vAlign w:val="bottom"/>
            <w:tcBorders>
              <w:bottom w:val="single" w:sz="8" w:color="B6B6B6"/>
            </w:tcBorders>
          </w:tcPr>
          <w:p>
            <w:pPr>
              <w:spacing w:after="0"/>
              <w:rPr>
                <w:sz w:val="20"/>
                <w:szCs w:val="20"/>
                <w:color w:val="auto"/>
              </w:rPr>
            </w:pPr>
          </w:p>
        </w:tc>
        <w:tc>
          <w:tcPr>
            <w:tcW w:w="960" w:type="dxa"/>
            <w:vAlign w:val="bottom"/>
            <w:tcBorders>
              <w:bottom w:val="single" w:sz="8" w:color="B6B6B6"/>
            </w:tcBorders>
          </w:tcPr>
          <w:p>
            <w:pPr>
              <w:jc w:val="right"/>
              <w:ind w:right="290"/>
              <w:spacing w:after="0"/>
              <w:rPr>
                <w:sz w:val="20"/>
                <w:szCs w:val="20"/>
                <w:color w:val="auto"/>
              </w:rPr>
            </w:pPr>
            <w:r>
              <w:rPr>
                <w:rFonts w:ascii="Arial" w:cs="Arial" w:eastAsia="Arial" w:hAnsi="Arial"/>
                <w:sz w:val="18"/>
                <w:szCs w:val="18"/>
                <w:b w:val="1"/>
                <w:bCs w:val="1"/>
                <w:color w:val="503C64"/>
              </w:rPr>
              <w:t>2023</w:t>
            </w:r>
          </w:p>
        </w:tc>
        <w:tc>
          <w:tcPr>
            <w:tcW w:w="200" w:type="dxa"/>
            <w:vAlign w:val="bottom"/>
            <w:tcBorders>
              <w:bottom w:val="single" w:sz="8" w:color="B6B6B6"/>
            </w:tcBorders>
          </w:tcPr>
          <w:p>
            <w:pPr>
              <w:spacing w:after="0"/>
              <w:rPr>
                <w:sz w:val="20"/>
                <w:szCs w:val="20"/>
                <w:color w:val="auto"/>
              </w:rPr>
            </w:pPr>
          </w:p>
        </w:tc>
        <w:tc>
          <w:tcPr>
            <w:tcW w:w="960" w:type="dxa"/>
            <w:vAlign w:val="bottom"/>
            <w:tcBorders>
              <w:bottom w:val="single" w:sz="8" w:color="B6B6B6"/>
            </w:tcBorders>
          </w:tcPr>
          <w:p>
            <w:pPr>
              <w:jc w:val="right"/>
              <w:ind w:right="290"/>
              <w:spacing w:after="0"/>
              <w:rPr>
                <w:sz w:val="20"/>
                <w:szCs w:val="20"/>
                <w:color w:val="auto"/>
              </w:rPr>
            </w:pPr>
            <w:r>
              <w:rPr>
                <w:rFonts w:ascii="Arial" w:cs="Arial" w:eastAsia="Arial" w:hAnsi="Arial"/>
                <w:sz w:val="18"/>
                <w:szCs w:val="18"/>
                <w:b w:val="1"/>
                <w:bCs w:val="1"/>
                <w:color w:val="503C64"/>
              </w:rPr>
              <w:t>2022</w:t>
            </w:r>
          </w:p>
        </w:tc>
        <w:tc>
          <w:tcPr>
            <w:tcW w:w="200" w:type="dxa"/>
            <w:vAlign w:val="bottom"/>
            <w:tcBorders>
              <w:bottom w:val="single" w:sz="8" w:color="B6B6B6"/>
            </w:tcBorders>
          </w:tcPr>
          <w:p>
            <w:pPr>
              <w:spacing w:after="0"/>
              <w:rPr>
                <w:sz w:val="20"/>
                <w:szCs w:val="20"/>
                <w:color w:val="auto"/>
              </w:rPr>
            </w:pPr>
          </w:p>
        </w:tc>
        <w:tc>
          <w:tcPr>
            <w:tcW w:w="940" w:type="dxa"/>
            <w:vAlign w:val="bottom"/>
            <w:tcBorders>
              <w:bottom w:val="single" w:sz="8" w:color="B6B6B6"/>
            </w:tcBorders>
          </w:tcPr>
          <w:p>
            <w:pPr>
              <w:jc w:val="right"/>
              <w:ind w:right="290"/>
              <w:spacing w:after="0"/>
              <w:rPr>
                <w:sz w:val="20"/>
                <w:szCs w:val="20"/>
                <w:color w:val="auto"/>
              </w:rPr>
            </w:pPr>
            <w:r>
              <w:rPr>
                <w:rFonts w:ascii="Arial" w:cs="Arial" w:eastAsia="Arial" w:hAnsi="Arial"/>
                <w:sz w:val="18"/>
                <w:szCs w:val="18"/>
                <w:b w:val="1"/>
                <w:bCs w:val="1"/>
                <w:color w:val="503C64"/>
              </w:rPr>
              <w:t>2023</w:t>
            </w:r>
          </w:p>
        </w:tc>
        <w:tc>
          <w:tcPr>
            <w:tcW w:w="220" w:type="dxa"/>
            <w:vAlign w:val="bottom"/>
            <w:tcBorders>
              <w:bottom w:val="single" w:sz="8" w:color="B6B6B6"/>
            </w:tcBorders>
          </w:tcPr>
          <w:p>
            <w:pPr>
              <w:spacing w:after="0"/>
              <w:rPr>
                <w:sz w:val="20"/>
                <w:szCs w:val="20"/>
                <w:color w:val="auto"/>
              </w:rPr>
            </w:pPr>
          </w:p>
        </w:tc>
        <w:tc>
          <w:tcPr>
            <w:tcW w:w="820" w:type="dxa"/>
            <w:vAlign w:val="bottom"/>
            <w:tcBorders>
              <w:bottom w:val="single" w:sz="8" w:color="B6B6B6"/>
            </w:tcBorders>
          </w:tcPr>
          <w:p>
            <w:pPr>
              <w:jc w:val="right"/>
              <w:ind w:right="213"/>
              <w:spacing w:after="0"/>
              <w:rPr>
                <w:sz w:val="20"/>
                <w:szCs w:val="20"/>
                <w:color w:val="auto"/>
              </w:rPr>
            </w:pPr>
            <w:r>
              <w:rPr>
                <w:rFonts w:ascii="Arial" w:cs="Arial" w:eastAsia="Arial" w:hAnsi="Arial"/>
                <w:sz w:val="18"/>
                <w:szCs w:val="18"/>
                <w:b w:val="1"/>
                <w:bCs w:val="1"/>
                <w:color w:val="503C64"/>
              </w:rPr>
              <w:t>2022</w:t>
            </w:r>
          </w:p>
        </w:tc>
        <w:tc>
          <w:tcPr>
            <w:tcW w:w="100" w:type="dxa"/>
            <w:vAlign w:val="bottom"/>
            <w:tcBorders>
              <w:bottom w:val="single" w:sz="8" w:color="B6B6B6"/>
            </w:tcBorders>
          </w:tcPr>
          <w:p>
            <w:pPr>
              <w:spacing w:after="0"/>
              <w:rPr>
                <w:sz w:val="20"/>
                <w:szCs w:val="20"/>
                <w:color w:val="auto"/>
              </w:rPr>
            </w:pPr>
          </w:p>
        </w:tc>
        <w:tc>
          <w:tcPr>
            <w:tcW w:w="140" w:type="dxa"/>
            <w:vAlign w:val="bottom"/>
            <w:tcBorders>
              <w:bottom w:val="single" w:sz="8" w:color="B6B6B6"/>
            </w:tcBorders>
          </w:tcPr>
          <w:p>
            <w:pPr>
              <w:spacing w:after="0"/>
              <w:rPr>
                <w:sz w:val="20"/>
                <w:szCs w:val="20"/>
                <w:color w:val="auto"/>
              </w:rPr>
            </w:pPr>
          </w:p>
        </w:tc>
        <w:tc>
          <w:tcPr>
            <w:tcW w:w="940" w:type="dxa"/>
            <w:vAlign w:val="bottom"/>
            <w:tcBorders>
              <w:bottom w:val="single" w:sz="8" w:color="B6B6B6"/>
            </w:tcBorders>
          </w:tcPr>
          <w:p>
            <w:pPr>
              <w:jc w:val="right"/>
              <w:ind w:right="270"/>
              <w:spacing w:after="0"/>
              <w:rPr>
                <w:sz w:val="20"/>
                <w:szCs w:val="20"/>
                <w:color w:val="auto"/>
              </w:rPr>
            </w:pPr>
            <w:r>
              <w:rPr>
                <w:rFonts w:ascii="Arial" w:cs="Arial" w:eastAsia="Arial" w:hAnsi="Arial"/>
                <w:sz w:val="18"/>
                <w:szCs w:val="18"/>
                <w:b w:val="1"/>
                <w:bCs w:val="1"/>
                <w:color w:val="503C64"/>
              </w:rPr>
              <w:t>2023</w:t>
            </w:r>
          </w:p>
        </w:tc>
        <w:tc>
          <w:tcPr>
            <w:tcW w:w="220" w:type="dxa"/>
            <w:vAlign w:val="bottom"/>
            <w:tcBorders>
              <w:bottom w:val="single" w:sz="8" w:color="B6B6B6"/>
            </w:tcBorders>
          </w:tcPr>
          <w:p>
            <w:pPr>
              <w:spacing w:after="0"/>
              <w:rPr>
                <w:sz w:val="20"/>
                <w:szCs w:val="20"/>
                <w:color w:val="auto"/>
              </w:rPr>
            </w:pPr>
          </w:p>
        </w:tc>
        <w:tc>
          <w:tcPr>
            <w:tcW w:w="960" w:type="dxa"/>
            <w:vAlign w:val="bottom"/>
            <w:tcBorders>
              <w:bottom w:val="single" w:sz="8" w:color="B6B6B6"/>
            </w:tcBorders>
          </w:tcPr>
          <w:p>
            <w:pPr>
              <w:jc w:val="right"/>
              <w:ind w:right="290"/>
              <w:spacing w:after="0"/>
              <w:rPr>
                <w:sz w:val="20"/>
                <w:szCs w:val="20"/>
                <w:color w:val="auto"/>
              </w:rPr>
            </w:pPr>
            <w:r>
              <w:rPr>
                <w:rFonts w:ascii="Arial" w:cs="Arial" w:eastAsia="Arial" w:hAnsi="Arial"/>
                <w:sz w:val="18"/>
                <w:szCs w:val="18"/>
                <w:b w:val="1"/>
                <w:bCs w:val="1"/>
                <w:color w:val="503C64"/>
              </w:rPr>
              <w:t>2022</w:t>
            </w:r>
          </w:p>
        </w:tc>
        <w:tc>
          <w:tcPr>
            <w:tcW w:w="200" w:type="dxa"/>
            <w:vAlign w:val="bottom"/>
            <w:tcBorders>
              <w:bottom w:val="single" w:sz="8" w:color="B6B6B6"/>
            </w:tcBorders>
          </w:tcPr>
          <w:p>
            <w:pPr>
              <w:spacing w:after="0"/>
              <w:rPr>
                <w:sz w:val="20"/>
                <w:szCs w:val="20"/>
                <w:color w:val="auto"/>
              </w:rPr>
            </w:pPr>
          </w:p>
        </w:tc>
        <w:tc>
          <w:tcPr>
            <w:tcW w:w="1000" w:type="dxa"/>
            <w:vAlign w:val="bottom"/>
            <w:tcBorders>
              <w:bottom w:val="single" w:sz="8" w:color="B6B6B6"/>
            </w:tcBorders>
          </w:tcPr>
          <w:p>
            <w:pPr>
              <w:jc w:val="right"/>
              <w:ind w:right="330"/>
              <w:spacing w:after="0"/>
              <w:rPr>
                <w:sz w:val="20"/>
                <w:szCs w:val="20"/>
                <w:color w:val="auto"/>
              </w:rPr>
            </w:pPr>
            <w:r>
              <w:rPr>
                <w:rFonts w:ascii="Arial" w:cs="Arial" w:eastAsia="Arial" w:hAnsi="Arial"/>
                <w:sz w:val="18"/>
                <w:szCs w:val="18"/>
                <w:b w:val="1"/>
                <w:bCs w:val="1"/>
                <w:color w:val="503C64"/>
              </w:rPr>
              <w:t>2023</w:t>
            </w:r>
          </w:p>
        </w:tc>
        <w:tc>
          <w:tcPr>
            <w:tcW w:w="160" w:type="dxa"/>
            <w:vAlign w:val="bottom"/>
            <w:tcBorders>
              <w:bottom w:val="single" w:sz="8" w:color="B6B6B6"/>
            </w:tcBorders>
          </w:tcPr>
          <w:p>
            <w:pPr>
              <w:spacing w:after="0"/>
              <w:rPr>
                <w:sz w:val="20"/>
                <w:szCs w:val="20"/>
                <w:color w:val="auto"/>
              </w:rPr>
            </w:pPr>
          </w:p>
        </w:tc>
        <w:tc>
          <w:tcPr>
            <w:tcW w:w="920" w:type="dxa"/>
            <w:vAlign w:val="bottom"/>
            <w:tcBorders>
              <w:bottom w:val="single" w:sz="8" w:color="B6B6B6"/>
            </w:tcBorders>
          </w:tcPr>
          <w:p>
            <w:pPr>
              <w:jc w:val="right"/>
              <w:ind w:right="250"/>
              <w:spacing w:after="0"/>
              <w:rPr>
                <w:sz w:val="20"/>
                <w:szCs w:val="20"/>
                <w:color w:val="auto"/>
              </w:rPr>
            </w:pPr>
            <w:r>
              <w:rPr>
                <w:rFonts w:ascii="Arial" w:cs="Arial" w:eastAsia="Arial" w:hAnsi="Arial"/>
                <w:sz w:val="18"/>
                <w:szCs w:val="18"/>
                <w:b w:val="1"/>
                <w:bCs w:val="1"/>
                <w:color w:val="503C64"/>
              </w:rPr>
              <w:t>2022</w:t>
            </w:r>
          </w:p>
        </w:tc>
        <w:tc>
          <w:tcPr>
            <w:tcW w:w="0" w:type="dxa"/>
            <w:vAlign w:val="bottom"/>
          </w:tcPr>
          <w:p>
            <w:pPr>
              <w:spacing w:after="0"/>
              <w:rPr>
                <w:sz w:val="1"/>
                <w:szCs w:val="1"/>
                <w:color w:val="auto"/>
              </w:rPr>
            </w:pPr>
          </w:p>
        </w:tc>
      </w:tr>
      <w:tr>
        <w:trPr>
          <w:trHeight w:val="169"/>
        </w:trPr>
        <w:tc>
          <w:tcPr>
            <w:tcW w:w="1740" w:type="dxa"/>
            <w:vAlign w:val="bottom"/>
          </w:tcPr>
          <w:p>
            <w:pPr>
              <w:spacing w:after="0" w:line="169" w:lineRule="exact"/>
              <w:rPr>
                <w:sz w:val="20"/>
                <w:szCs w:val="20"/>
                <w:color w:val="auto"/>
              </w:rPr>
            </w:pPr>
            <w:r>
              <w:rPr>
                <w:rFonts w:ascii="Arial" w:cs="Arial" w:eastAsia="Arial" w:hAnsi="Arial"/>
                <w:sz w:val="18"/>
                <w:szCs w:val="18"/>
                <w:b w:val="1"/>
                <w:bCs w:val="1"/>
                <w:color w:val="auto"/>
              </w:rPr>
              <w:t>Operating</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503C64"/>
              </w:rPr>
              <w:t>(Dollars in Thousands)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40" w:type="dxa"/>
            <w:vAlign w:val="bottom"/>
          </w:tcPr>
          <w:p>
            <w:pPr>
              <w:ind w:left="100"/>
              <w:spacing w:after="0" w:line="189" w:lineRule="exact"/>
              <w:rPr>
                <w:sz w:val="20"/>
                <w:szCs w:val="20"/>
                <w:color w:val="auto"/>
              </w:rPr>
            </w:pPr>
            <w:r>
              <w:rPr>
                <w:rFonts w:ascii="Arial" w:cs="Arial" w:eastAsia="Arial" w:hAnsi="Arial"/>
                <w:sz w:val="18"/>
                <w:szCs w:val="18"/>
                <w:color w:val="auto"/>
              </w:rPr>
              <w:t>Total</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40" w:type="dxa"/>
            <w:vAlign w:val="bottom"/>
          </w:tcPr>
          <w:p>
            <w:pPr>
              <w:spacing w:after="0" w:line="176" w:lineRule="exact"/>
              <w:rPr>
                <w:sz w:val="20"/>
                <w:szCs w:val="20"/>
                <w:color w:val="auto"/>
              </w:rPr>
            </w:pPr>
            <w:r>
              <w:rPr>
                <w:rFonts w:ascii="Arial" w:cs="Arial" w:eastAsia="Arial" w:hAnsi="Arial"/>
                <w:sz w:val="18"/>
                <w:szCs w:val="18"/>
                <w:color w:val="auto"/>
              </w:rPr>
              <w:t>compensation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70"/>
              <w:spacing w:after="0"/>
              <w:rPr>
                <w:sz w:val="20"/>
                <w:szCs w:val="20"/>
                <w:color w:val="auto"/>
              </w:rPr>
            </w:pPr>
            <w:r>
              <w:rPr>
                <w:rFonts w:ascii="Arial" w:cs="Arial" w:eastAsia="Arial" w:hAnsi="Arial"/>
                <w:sz w:val="18"/>
                <w:szCs w:val="18"/>
                <w:color w:val="auto"/>
              </w:rPr>
              <w:t>148,428</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90"/>
              <w:spacing w:after="0"/>
              <w:rPr>
                <w:sz w:val="20"/>
                <w:szCs w:val="20"/>
                <w:color w:val="auto"/>
              </w:rPr>
            </w:pPr>
            <w:r>
              <w:rPr>
                <w:rFonts w:ascii="Arial" w:cs="Arial" w:eastAsia="Arial" w:hAnsi="Arial"/>
                <w:sz w:val="18"/>
                <w:szCs w:val="18"/>
                <w:color w:val="auto"/>
              </w:rPr>
              <w:t>127,014</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113,563</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33"/>
              <w:spacing w:after="0"/>
              <w:rPr>
                <w:sz w:val="20"/>
                <w:szCs w:val="20"/>
                <w:color w:val="auto"/>
              </w:rPr>
            </w:pPr>
            <w:r>
              <w:rPr>
                <w:rFonts w:ascii="Arial" w:cs="Arial" w:eastAsia="Arial" w:hAnsi="Arial"/>
                <w:sz w:val="18"/>
                <w:szCs w:val="18"/>
                <w:color w:val="auto"/>
              </w:rPr>
              <w:t>96,763</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rPr>
              <w:t>266,062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70"/>
              <w:spacing w:after="0"/>
              <w:rPr>
                <w:sz w:val="20"/>
                <w:szCs w:val="20"/>
                <w:color w:val="auto"/>
              </w:rPr>
            </w:pPr>
            <w:r>
              <w:rPr>
                <w:rFonts w:ascii="Arial" w:cs="Arial" w:eastAsia="Arial" w:hAnsi="Arial"/>
                <w:sz w:val="18"/>
                <w:szCs w:val="18"/>
                <w:color w:val="auto"/>
              </w:rPr>
              <w:t>255,149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10"/>
              <w:spacing w:after="0"/>
              <w:rPr>
                <w:sz w:val="20"/>
                <w:szCs w:val="20"/>
                <w:color w:val="auto"/>
              </w:rPr>
            </w:pPr>
            <w:r>
              <w:rPr>
                <w:rFonts w:ascii="Arial" w:cs="Arial" w:eastAsia="Arial" w:hAnsi="Arial"/>
                <w:sz w:val="18"/>
                <w:szCs w:val="18"/>
                <w:color w:val="auto"/>
              </w:rPr>
              <w:t>198,971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50"/>
              <w:spacing w:after="0"/>
              <w:rPr>
                <w:sz w:val="20"/>
                <w:szCs w:val="20"/>
                <w:color w:val="auto"/>
              </w:rPr>
            </w:pPr>
            <w:r>
              <w:rPr>
                <w:rFonts w:ascii="Arial" w:cs="Arial" w:eastAsia="Arial" w:hAnsi="Arial"/>
                <w:sz w:val="18"/>
                <w:szCs w:val="18"/>
                <w:color w:val="auto"/>
              </w:rPr>
              <w:t>193,964</w:t>
            </w:r>
          </w:p>
        </w:tc>
        <w:tc>
          <w:tcPr>
            <w:tcW w:w="0" w:type="dxa"/>
            <w:vAlign w:val="bottom"/>
          </w:tcPr>
          <w:p>
            <w:pPr>
              <w:spacing w:after="0"/>
              <w:rPr>
                <w:sz w:val="1"/>
                <w:szCs w:val="1"/>
                <w:color w:val="auto"/>
              </w:rPr>
            </w:pPr>
          </w:p>
        </w:tc>
      </w:tr>
      <w:tr>
        <w:trPr>
          <w:trHeight w:val="224"/>
        </w:trPr>
        <w:tc>
          <w:tcPr>
            <w:tcW w:w="1740" w:type="dxa"/>
            <w:vAlign w:val="bottom"/>
          </w:tcPr>
          <w:p>
            <w:pPr>
              <w:spacing w:after="0"/>
              <w:rPr>
                <w:sz w:val="20"/>
                <w:szCs w:val="20"/>
                <w:color w:val="auto"/>
              </w:rPr>
            </w:pPr>
            <w:r>
              <w:rPr>
                <w:rFonts w:ascii="Arial" w:cs="Arial" w:eastAsia="Arial" w:hAnsi="Arial"/>
                <w:sz w:val="18"/>
                <w:szCs w:val="18"/>
                <w:color w:val="auto"/>
              </w:rPr>
              <w:t>benefits</w:t>
            </w:r>
          </w:p>
        </w:tc>
        <w:tc>
          <w:tcPr>
            <w:tcW w:w="1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740" w:type="dxa"/>
            <w:vAlign w:val="bottom"/>
          </w:tcPr>
          <w:p>
            <w:pPr>
              <w:jc w:val="center"/>
              <w:spacing w:after="0"/>
              <w:rPr>
                <w:sz w:val="20"/>
                <w:szCs w:val="20"/>
                <w:color w:val="auto"/>
              </w:rPr>
            </w:pPr>
            <w:r>
              <w:rPr>
                <w:rFonts w:ascii="Arial" w:cs="Arial" w:eastAsia="Arial" w:hAnsi="Arial"/>
                <w:sz w:val="18"/>
                <w:szCs w:val="18"/>
                <w:i w:val="1"/>
                <w:iCs w:val="1"/>
                <w:color w:val="auto"/>
                <w:w w:val="99"/>
              </w:rPr>
              <w:t>% of Revenues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90 %</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84 %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69 %</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64 %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90 %</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84 %</w:t>
            </w: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i w:val="1"/>
                <w:iCs w:val="1"/>
                <w:color w:val="auto"/>
              </w:rPr>
              <w:t>67 %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64 %</w:t>
            </w:r>
          </w:p>
        </w:tc>
        <w:tc>
          <w:tcPr>
            <w:tcW w:w="0" w:type="dxa"/>
            <w:vAlign w:val="bottom"/>
          </w:tcPr>
          <w:p>
            <w:pPr>
              <w:spacing w:after="0"/>
              <w:rPr>
                <w:sz w:val="1"/>
                <w:szCs w:val="1"/>
                <w:color w:val="auto"/>
              </w:rPr>
            </w:pPr>
          </w:p>
        </w:tc>
      </w:tr>
      <w:tr>
        <w:trPr>
          <w:trHeight w:val="190"/>
        </w:trPr>
        <w:tc>
          <w:tcPr>
            <w:tcW w:w="1740" w:type="dxa"/>
            <w:vAlign w:val="bottom"/>
          </w:tcPr>
          <w:p>
            <w:pPr>
              <w:jc w:val="center"/>
              <w:spacing w:after="0" w:line="189" w:lineRule="exact"/>
              <w:rPr>
                <w:sz w:val="20"/>
                <w:szCs w:val="20"/>
                <w:color w:val="auto"/>
              </w:rPr>
            </w:pPr>
            <w:r>
              <w:rPr>
                <w:rFonts w:ascii="Arial" w:cs="Arial" w:eastAsia="Arial" w:hAnsi="Arial"/>
                <w:sz w:val="18"/>
                <w:szCs w:val="18"/>
                <w:color w:val="auto"/>
              </w:rPr>
              <w:t>Non-compensation</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70"/>
              <w:spacing w:after="0"/>
              <w:rPr>
                <w:sz w:val="20"/>
                <w:szCs w:val="20"/>
                <w:color w:val="auto"/>
              </w:rPr>
            </w:pPr>
            <w:r>
              <w:rPr>
                <w:rFonts w:ascii="Arial" w:cs="Arial" w:eastAsia="Arial" w:hAnsi="Arial"/>
                <w:sz w:val="18"/>
                <w:szCs w:val="18"/>
                <w:color w:val="auto"/>
              </w:rPr>
              <w:t>38,869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90"/>
              <w:spacing w:after="0"/>
              <w:rPr>
                <w:sz w:val="20"/>
                <w:szCs w:val="20"/>
                <w:color w:val="auto"/>
              </w:rPr>
            </w:pPr>
            <w:r>
              <w:rPr>
                <w:rFonts w:ascii="Arial" w:cs="Arial" w:eastAsia="Arial" w:hAnsi="Arial"/>
                <w:sz w:val="18"/>
                <w:szCs w:val="18"/>
                <w:color w:val="auto"/>
              </w:rPr>
              <w:t>33,103</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190"/>
              <w:spacing w:after="0"/>
              <w:rPr>
                <w:sz w:val="20"/>
                <w:szCs w:val="20"/>
                <w:color w:val="auto"/>
              </w:rPr>
            </w:pPr>
            <w:r>
              <w:rPr>
                <w:rFonts w:ascii="Arial" w:cs="Arial" w:eastAsia="Arial" w:hAnsi="Arial"/>
                <w:sz w:val="18"/>
                <w:szCs w:val="18"/>
                <w:color w:val="auto"/>
              </w:rPr>
              <w:t>36,384</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33"/>
              <w:spacing w:after="0"/>
              <w:rPr>
                <w:sz w:val="20"/>
                <w:szCs w:val="20"/>
                <w:color w:val="auto"/>
              </w:rPr>
            </w:pPr>
            <w:r>
              <w:rPr>
                <w:rFonts w:ascii="Arial" w:cs="Arial" w:eastAsia="Arial" w:hAnsi="Arial"/>
                <w:sz w:val="18"/>
                <w:szCs w:val="18"/>
                <w:color w:val="auto"/>
              </w:rPr>
              <w:t>31,031</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rPr>
              <w:t>75,351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170"/>
              <w:spacing w:after="0"/>
              <w:rPr>
                <w:sz w:val="20"/>
                <w:szCs w:val="20"/>
                <w:color w:val="auto"/>
              </w:rPr>
            </w:pPr>
            <w:r>
              <w:rPr>
                <w:rFonts w:ascii="Arial" w:cs="Arial" w:eastAsia="Arial" w:hAnsi="Arial"/>
                <w:sz w:val="18"/>
                <w:szCs w:val="18"/>
                <w:color w:val="auto"/>
              </w:rPr>
              <w:t>67,203</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10"/>
              <w:spacing w:after="0"/>
              <w:rPr>
                <w:sz w:val="20"/>
                <w:szCs w:val="20"/>
                <w:color w:val="auto"/>
              </w:rPr>
            </w:pPr>
            <w:r>
              <w:rPr>
                <w:rFonts w:ascii="Arial" w:cs="Arial" w:eastAsia="Arial" w:hAnsi="Arial"/>
                <w:sz w:val="18"/>
                <w:szCs w:val="18"/>
                <w:color w:val="auto"/>
              </w:rPr>
              <w:t>70,896</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50"/>
              <w:spacing w:after="0"/>
              <w:rPr>
                <w:sz w:val="20"/>
                <w:szCs w:val="20"/>
                <w:color w:val="auto"/>
              </w:rPr>
            </w:pPr>
            <w:r>
              <w:rPr>
                <w:rFonts w:ascii="Arial" w:cs="Arial" w:eastAsia="Arial" w:hAnsi="Arial"/>
                <w:sz w:val="18"/>
                <w:szCs w:val="18"/>
                <w:color w:val="auto"/>
              </w:rPr>
              <w:t>63,199</w:t>
            </w:r>
          </w:p>
        </w:tc>
        <w:tc>
          <w:tcPr>
            <w:tcW w:w="0" w:type="dxa"/>
            <w:vAlign w:val="bottom"/>
          </w:tcPr>
          <w:p>
            <w:pPr>
              <w:spacing w:after="0"/>
              <w:rPr>
                <w:sz w:val="1"/>
                <w:szCs w:val="1"/>
                <w:color w:val="auto"/>
              </w:rPr>
            </w:pPr>
          </w:p>
        </w:tc>
      </w:tr>
      <w:tr>
        <w:trPr>
          <w:trHeight w:val="224"/>
        </w:trPr>
        <w:tc>
          <w:tcPr>
            <w:tcW w:w="174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740" w:type="dxa"/>
            <w:vAlign w:val="bottom"/>
          </w:tcPr>
          <w:p>
            <w:pPr>
              <w:jc w:val="center"/>
              <w:spacing w:after="0"/>
              <w:rPr>
                <w:sz w:val="20"/>
                <w:szCs w:val="20"/>
                <w:color w:val="auto"/>
              </w:rPr>
            </w:pPr>
            <w:r>
              <w:rPr>
                <w:rFonts w:ascii="Arial" w:cs="Arial" w:eastAsia="Arial" w:hAnsi="Arial"/>
                <w:sz w:val="18"/>
                <w:szCs w:val="18"/>
                <w:i w:val="1"/>
                <w:iCs w:val="1"/>
                <w:color w:val="auto"/>
                <w:w w:val="99"/>
              </w:rPr>
              <w:t>% of Revenues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25 %</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2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i w:val="1"/>
                <w:iCs w:val="1"/>
                <w:color w:val="auto"/>
              </w:rPr>
              <w:t>24 %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21 %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Three Months Ended</w:t>
      </w:r>
    </w:p>
    <w:p>
      <w:pPr>
        <w:spacing w:after="0" w:line="181"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GAAP total compensation and benefits were $148.4 million for the second quarter of 2023, compared to $127.0 million for the second quarter of 2022. Adjusted total compensation and benefits were $113.6 million for the second quarter of 2023 as compared to $96.8 million for the same period a year ago. The increase in both GAAP total compensation and benefits and adjusted total compensation and benefits was due to a larger bonus accrual on an absolute dollar basis associated with higher revenues combined with the quarterly impact of increasing the year-to-date 2023 compensation margin to 67%. On a GAAP basis, total compensation and benefits include the impact of business realignment costs associated with employee reductions undertaken in the second quarter of 2023 to improve compensation alignment and to provide for greater flexibility to advance strategic opportunities.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8"/>
        <w:spacing w:after="0" w:line="263" w:lineRule="auto"/>
        <w:tabs>
          <w:tab w:leader="none" w:pos="9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8" w:right="339" w:bottom="1440" w:gutter="0" w:footer="0" w:header="0"/>
        </w:sectPr>
      </w:pPr>
    </w:p>
    <w:bookmarkStart w:id="5" w:name="page6"/>
    <w:bookmarkEnd w:id="5"/>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4" w:lineRule="auto"/>
        <w:rPr>
          <w:sz w:val="20"/>
          <w:szCs w:val="20"/>
          <w:color w:val="auto"/>
        </w:rPr>
      </w:pPr>
      <w:r>
        <w:rPr>
          <w:rFonts w:ascii="Arial" w:cs="Arial" w:eastAsia="Arial" w:hAnsi="Arial"/>
          <w:sz w:val="20"/>
          <w:szCs w:val="20"/>
          <w:color w:val="auto"/>
        </w:rPr>
        <w:t>GAAP non-compensation expenses were $38.9 million for the second quarter of 2023, compared with $33.1 million for the second quarter of 2022. Adjusted non-compensation expenses were $36.4 million for the second quarter of 2023, compared with $31.0 million for the same period a year ago. The increase experienced in both GAAP non-compensation expenses and adjusted non-compensation expenses was largely driven by legal spend, higher rent and occupancy costs associated with overlapping rent periods and a related step-up in depreciation expense tied to New York and London office renovations and relocation, technology investments, and an increase in travel and related expenses.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Six Months Ended</w:t>
      </w:r>
    </w:p>
    <w:p>
      <w:pPr>
        <w:spacing w:after="0" w:line="316"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GAAP total compensation and benefits were $266.1 million for the six months ended June 30, 2023, compared to $255.1 million for the six months ended June 30, 2022. Adjusted total compensation and benefits were $199.0 million for the six months ended June 30, 2023 as compared to $194.0 million for the same period a year ago. The increase in both GAAP total compensation and benefits and adjusted total compensation and benefits was due to a higher compensation margin on a slightly lower revenue base. On a GAAP basis, total compensation and benefits include the impact of aforementioned business realignment costs. At the end of the second quarter, the Firm increased the year-to-date compensation margin to 67% reflecting business and industry conditions and to support talent investment.</w:t>
      </w:r>
    </w:p>
    <w:p>
      <w:pPr>
        <w:spacing w:after="0" w:line="222"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GAAP non-compensation expenses were $75.4 million for the six months ended June 30, 2023, compared with $67.2 million for the six months ended June 30, 2022. Adjusted non-compensation expenses were $70.9 million for the six months ended June 30, 2023, compared with $63.2 million for the same period a year ago. The increase experienced in both GAAP non-compensation expenses and adjusted non-compensation expenses was largely driven by higher rent and occupancy costs associated with overlapping rent periods and a related step-up in depreciation expense tied to New York and London office renovations and relocation, an increase in travel and related expenses, legal spend, and technology investments, partially offset by a moderation in professional fees, a reduction in co-advisory fees, and lower D&amp;O insurance costs versus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8"/>
        <w:spacing w:after="0" w:line="257" w:lineRule="auto"/>
        <w:tabs>
          <w:tab w:leader="none" w:pos="94" w:val="left"/>
        </w:tabs>
        <w:numPr>
          <w:ilvl w:val="0"/>
          <w:numId w:val="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Provision for Income Taxes</w:t>
      </w:r>
    </w:p>
    <w:p>
      <w:pPr>
        <w:spacing w:after="0" w:line="307"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Perella Weinberg Partners currently owns 48.77% of the operating partnership (PWP Holdings LP) and is subject to U.S. federal and state corporate income tax. Income earned by the operating partnership is subject to certain state and foreign income taxes.</w:t>
      </w:r>
    </w:p>
    <w:p>
      <w:pPr>
        <w:spacing w:after="0" w:line="17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For purposes of calculating adjusted if-converted net income, we have presented our results as if all partnership units had been converted to shares of Class A Common Stock, and as if all of our adjusted income for the period was subjected to U.S. corporate income tax. For the six months ended June 30, 2023, the effective tax rate for adjusted if-converted net income was 22%. This tax rate included a one-time tax benefit recognized in the second quarter of 2023 due to the release of a tax reserve at one of our foreign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Balance Sheet and Capital Management</w:t>
      </w:r>
    </w:p>
    <w:p>
      <w:pPr>
        <w:spacing w:after="0" w:line="293" w:lineRule="exact"/>
        <w:rPr>
          <w:sz w:val="20"/>
          <w:szCs w:val="20"/>
          <w:color w:val="auto"/>
        </w:rPr>
      </w:pPr>
    </w:p>
    <w:p>
      <w:pPr>
        <w:jc w:val="both"/>
        <w:spacing w:after="0" w:line="331" w:lineRule="auto"/>
        <w:rPr>
          <w:sz w:val="20"/>
          <w:szCs w:val="20"/>
          <w:color w:val="auto"/>
        </w:rPr>
      </w:pPr>
      <w:r>
        <w:rPr>
          <w:rFonts w:ascii="Arial" w:cs="Arial" w:eastAsia="Arial" w:hAnsi="Arial"/>
          <w:sz w:val="20"/>
          <w:szCs w:val="20"/>
          <w:color w:val="auto"/>
        </w:rPr>
        <w:t>As of June 30, 2023, PWP had $179.8 million of cash and short-term investments in U.S. Treasury securities. The Firm has no outstanding indebtedness and has an undrawn revolving credit facility.</w:t>
      </w:r>
    </w:p>
    <w:p>
      <w:pPr>
        <w:spacing w:after="0" w:line="203"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During the three months ended June 30, 2023, PWP returned $14.2 million in aggregate to our equity holders through (i) the repurchase of 919,379 shares at an average price per share of $8.41 in open market transactions pursuant to PWP’s Class A common stock repurchase program, (ii) the net settlement of 56,497 share equivalents to satisfy tax withholding obligations at an average price per share of $8.01 and (iii) the payment of $6.0 million in pro rata distributions to limited partners which allowed PWP to pay its dividends of $3.0 million on Class A common stock.</w:t>
      </w:r>
    </w:p>
    <w:p>
      <w:pPr>
        <w:spacing w:after="0" w:line="219"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During the six months ended June 30, 2023, PWP returned $47.0 million in aggregate to our equity holders through (i) the repurchase of 2,376,683 shares at an average price per share of $9.46 in open market transactions pursuant to PWP’s Class A common stock repurchase program, (ii) the net settlement of 1,177,991 share equivalents to satisfy tax withholding obligations at an average price per share of $10.02 and (iii) the payment of $12.7 million in pro rata distributions to limited partners which allowed PWP to pay its dividends of $6.5 million on Class A common stock.</w:t>
      </w:r>
    </w:p>
    <w:p>
      <w:pPr>
        <w:spacing w:after="0" w:line="219"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During the three and six months ended June 30, 2023, PWP made $0.5 million of cash payments related to the business realignment. Currently, we are estimating future cash payments of approximately $18 million related to the business realignment, which are expected to be paid by or soon after December 31, 2023.</w:t>
      </w:r>
    </w:p>
    <w:p>
      <w:pPr>
        <w:spacing w:after="0" w:line="214" w:lineRule="exact"/>
        <w:rPr>
          <w:sz w:val="20"/>
          <w:szCs w:val="20"/>
          <w:color w:val="auto"/>
        </w:rPr>
      </w:pPr>
    </w:p>
    <w:p>
      <w:pPr>
        <w:jc w:val="both"/>
        <w:spacing w:after="0" w:line="331" w:lineRule="auto"/>
        <w:rPr>
          <w:sz w:val="20"/>
          <w:szCs w:val="20"/>
          <w:color w:val="auto"/>
        </w:rPr>
      </w:pPr>
      <w:r>
        <w:rPr>
          <w:rFonts w:ascii="Arial" w:cs="Arial" w:eastAsia="Arial" w:hAnsi="Arial"/>
          <w:sz w:val="20"/>
          <w:szCs w:val="20"/>
          <w:color w:val="auto"/>
        </w:rPr>
        <w:t>The Board of Directors has declared a quarterly dividend of $0.07 per share of Class A common stock. The dividend will be paid on September 12, 2023 to Class A common stockholders of record on September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8"/>
        <w:spacing w:after="0" w:line="257" w:lineRule="auto"/>
        <w:tabs>
          <w:tab w:leader="none" w:pos="94" w:val="left"/>
        </w:tabs>
        <w:numPr>
          <w:ilvl w:val="0"/>
          <w:numId w:val="9"/>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Conference Call and Webcast</w:t>
      </w:r>
    </w:p>
    <w:p>
      <w:pPr>
        <w:spacing w:after="0" w:line="307" w:lineRule="exact"/>
        <w:rPr>
          <w:sz w:val="20"/>
          <w:szCs w:val="20"/>
          <w:color w:val="auto"/>
        </w:rPr>
      </w:pPr>
    </w:p>
    <w:p>
      <w:pPr>
        <w:spacing w:after="0" w:line="331" w:lineRule="auto"/>
        <w:rPr>
          <w:sz w:val="20"/>
          <w:szCs w:val="20"/>
          <w:color w:val="auto"/>
        </w:rPr>
      </w:pPr>
      <w:r>
        <w:rPr>
          <w:rFonts w:ascii="Arial" w:cs="Arial" w:eastAsia="Arial" w:hAnsi="Arial"/>
          <w:sz w:val="20"/>
          <w:szCs w:val="20"/>
          <w:color w:val="auto"/>
        </w:rPr>
        <w:t>Management will host a webcast and conference call on Thursday, August 3, 2023 at 9:00 am ET to discuss PWP’s financial results for the second quarter ended June 30, 2023.</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will be made available in the Investors section of PWP’s website at https://investors.pwpartners.com/.</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also be accessed by the following dial-in information:</w:t>
      </w:r>
    </w:p>
    <w:p>
      <w:pPr>
        <w:spacing w:after="0" w:line="310" w:lineRule="exact"/>
        <w:rPr>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Domestic: (800) 225-9448</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International: (203) 518-9708</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Conference ID: PWPQ223</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Replay</w:t>
      </w:r>
    </w:p>
    <w:p>
      <w:pPr>
        <w:spacing w:after="0" w:line="293"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A replay of the call will also be available two hours after the live call through August 10, 2023. To access the replay, dial (800) 839-3617 (Domestic) or (402) 220-2975 (International). The replay can also be accessed on the investors section of PWP’s website at https://investors.pwpartners.com/.</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About PWP</w:t>
      </w:r>
    </w:p>
    <w:p>
      <w:pPr>
        <w:spacing w:after="0" w:line="307"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Perella Weinberg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650 employees, PWP currently maintains offices in New York, London, Houston, San Francisco, Paris, Los Angeles, Chicago, Calgary, Denver, and Munich. The financial information of PWP herein refers to the business operations of PWP Holdings LP and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Additional Information</w:t>
      </w:r>
    </w:p>
    <w:p>
      <w:pPr>
        <w:spacing w:after="0" w:line="293" w:lineRule="exact"/>
        <w:rPr>
          <w:sz w:val="20"/>
          <w:szCs w:val="20"/>
          <w:color w:val="auto"/>
        </w:rPr>
      </w:pPr>
    </w:p>
    <w:p>
      <w:pPr>
        <w:jc w:val="both"/>
        <w:spacing w:after="0" w:line="331" w:lineRule="auto"/>
        <w:rPr>
          <w:sz w:val="20"/>
          <w:szCs w:val="20"/>
          <w:color w:val="auto"/>
        </w:rPr>
      </w:pPr>
      <w:r>
        <w:rPr>
          <w:rFonts w:ascii="Arial" w:cs="Arial" w:eastAsia="Arial" w:hAnsi="Arial"/>
          <w:sz w:val="20"/>
          <w:szCs w:val="20"/>
          <w:color w:val="auto"/>
        </w:rPr>
        <w:t>For additional information that management believes to be useful for investors, please refer to the latest presentation posted on the Investors section of PWP’s website at https://investors.pwpartners.com/.</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Contacts</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Investor Relations: investors@pwpartners.com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Media: media@pwpartners.com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7" w:lineRule="auto"/>
        <w:tabs>
          <w:tab w:leader="none" w:pos="94"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8"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503C64"/>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Non-GAAP Financial Measures</w:t>
      </w:r>
    </w:p>
    <w:p>
      <w:pPr>
        <w:spacing w:after="0" w:line="307"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20"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22" w:lineRule="exact"/>
        <w:rPr>
          <w:sz w:val="20"/>
          <w:szCs w:val="20"/>
          <w:color w:val="auto"/>
        </w:rPr>
      </w:pPr>
    </w:p>
    <w:p>
      <w:pPr>
        <w:jc w:val="both"/>
        <w:spacing w:after="0" w:line="338" w:lineRule="auto"/>
        <w:rPr>
          <w:sz w:val="20"/>
          <w:szCs w:val="20"/>
          <w:color w:val="auto"/>
        </w:rPr>
      </w:pPr>
      <w:r>
        <w:rPr>
          <w:rFonts w:ascii="Arial" w:cs="Arial" w:eastAsia="Arial" w:hAnsi="Arial"/>
          <w:sz w:val="19"/>
          <w:szCs w:val="19"/>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Cautionary Statement Regarding Forward Looking Statements</w:t>
      </w:r>
    </w:p>
    <w:p>
      <w:pPr>
        <w:spacing w:after="0" w:line="293"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8"/>
        <w:spacing w:after="0" w:line="257" w:lineRule="auto"/>
        <w:tabs>
          <w:tab w:leader="none" w:pos="94"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8" w:right="339" w:bottom="1440" w:gutter="0" w:footer="0" w:header="0"/>
        </w:sectPr>
      </w:pPr>
    </w:p>
    <w:bookmarkStart w:id="9" w:name="page10"/>
    <w:bookmarkEnd w:id="9"/>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spacing w:after="0" w:line="311" w:lineRule="auto"/>
        <w:rPr>
          <w:sz w:val="20"/>
          <w:szCs w:val="20"/>
          <w:color w:val="auto"/>
        </w:rPr>
      </w:pPr>
      <w:r>
        <w:rPr>
          <w:rFonts w:ascii="Arial" w:cs="Arial" w:eastAsia="Arial" w:hAnsi="Arial"/>
          <w:sz w:val="20"/>
          <w:szCs w:val="20"/>
          <w:color w:val="auto"/>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Arial" w:cs="Arial" w:eastAsia="Arial" w:hAnsi="Arial"/>
          <w:sz w:val="20"/>
          <w:szCs w:val="20"/>
          <w:i w:val="1"/>
          <w:iCs w:val="1"/>
          <w:color w:val="auto"/>
        </w:rPr>
        <w:t>“Part I—Item 1A. Risk Factors”</w:t>
      </w:r>
      <w:r>
        <w:rPr>
          <w:rFonts w:ascii="Arial" w:cs="Arial" w:eastAsia="Arial" w:hAnsi="Arial"/>
          <w:sz w:val="20"/>
          <w:szCs w:val="20"/>
          <w:color w:val="auto"/>
        </w:rPr>
        <w:t xml:space="preserve"> in our Annual Report on Form 10-K.</w:t>
      </w:r>
    </w:p>
    <w:p>
      <w:pPr>
        <w:spacing w:after="0" w:line="229"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SEC on February 28, 2023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8"/>
        <w:spacing w:after="0" w:line="257" w:lineRule="auto"/>
        <w:tabs>
          <w:tab w:leader="none" w:pos="94"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Consolidated Statements of Operations (Unaudited)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503C64"/>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503C64"/>
              </w:rPr>
              <w:t>Six Months Ended</w:t>
            </w:r>
          </w:p>
        </w:tc>
      </w:tr>
      <w:tr>
        <w:trPr>
          <w:trHeight w:val="227"/>
        </w:trPr>
        <w:tc>
          <w:tcPr>
            <w:tcW w:w="5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503C64"/>
              </w:rPr>
              <w:t>June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503C64"/>
              </w:rPr>
              <w:t>June 30,</w:t>
            </w:r>
          </w:p>
        </w:tc>
        <w:tc>
          <w:tcPr>
            <w:tcW w:w="920" w:type="dxa"/>
            <w:vAlign w:val="bottom"/>
          </w:tcPr>
          <w:p>
            <w:pPr>
              <w:spacing w:after="0"/>
              <w:rPr>
                <w:sz w:val="19"/>
                <w:szCs w:val="19"/>
                <w:color w:val="auto"/>
              </w:rPr>
            </w:pPr>
          </w:p>
        </w:tc>
      </w:tr>
      <w:tr>
        <w:trPr>
          <w:trHeight w:val="21"/>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B6B6B6"/>
            </w:tcBorders>
          </w:tcPr>
          <w:p>
            <w:pPr>
              <w:spacing w:after="0" w:line="20" w:lineRule="exact"/>
              <w:rPr>
                <w:sz w:val="1"/>
                <w:szCs w:val="1"/>
                <w:color w:val="auto"/>
              </w:rPr>
            </w:pPr>
          </w:p>
        </w:tc>
        <w:tc>
          <w:tcPr>
            <w:tcW w:w="1120" w:type="dxa"/>
            <w:vAlign w:val="bottom"/>
            <w:tcBorders>
              <w:bottom w:val="single" w:sz="8" w:color="B6B6B6"/>
            </w:tcBorders>
          </w:tcPr>
          <w:p>
            <w:pPr>
              <w:spacing w:after="0" w:line="20" w:lineRule="exact"/>
              <w:rPr>
                <w:sz w:val="1"/>
                <w:szCs w:val="1"/>
                <w:color w:val="auto"/>
              </w:rPr>
            </w:pPr>
          </w:p>
        </w:tc>
        <w:tc>
          <w:tcPr>
            <w:tcW w:w="80" w:type="dxa"/>
            <w:vAlign w:val="bottom"/>
            <w:tcBorders>
              <w:bottom w:val="single" w:sz="8" w:color="B6B6B6"/>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B6B6B6"/>
            </w:tcBorders>
          </w:tcPr>
          <w:p>
            <w:pPr>
              <w:spacing w:after="0" w:line="20" w:lineRule="exact"/>
              <w:rPr>
                <w:sz w:val="1"/>
                <w:szCs w:val="1"/>
                <w:color w:val="auto"/>
              </w:rPr>
            </w:pPr>
          </w:p>
        </w:tc>
        <w:tc>
          <w:tcPr>
            <w:tcW w:w="1000" w:type="dxa"/>
            <w:vAlign w:val="bottom"/>
            <w:tcBorders>
              <w:bottom w:val="single" w:sz="8" w:color="B6B6B6"/>
            </w:tcBorders>
          </w:tcPr>
          <w:p>
            <w:pPr>
              <w:spacing w:after="0" w:line="20" w:lineRule="exact"/>
              <w:rPr>
                <w:sz w:val="1"/>
                <w:szCs w:val="1"/>
                <w:color w:val="auto"/>
              </w:rPr>
            </w:pPr>
          </w:p>
        </w:tc>
        <w:tc>
          <w:tcPr>
            <w:tcW w:w="100" w:type="dxa"/>
            <w:vAlign w:val="bottom"/>
            <w:tcBorders>
              <w:bottom w:val="single" w:sz="8" w:color="B6B6B6"/>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r>
      <w:tr>
        <w:trPr>
          <w:trHeight w:val="210"/>
        </w:trPr>
        <w:tc>
          <w:tcPr>
            <w:tcW w:w="5900" w:type="dxa"/>
            <w:vAlign w:val="bottom"/>
            <w:tcBorders>
              <w:bottom w:val="single" w:sz="8" w:color="E3E1E9"/>
            </w:tcBorders>
          </w:tcPr>
          <w:p>
            <w:pPr>
              <w:spacing w:after="0"/>
              <w:rPr>
                <w:sz w:val="18"/>
                <w:szCs w:val="18"/>
                <w:color w:val="auto"/>
              </w:rPr>
            </w:pPr>
          </w:p>
        </w:tc>
        <w:tc>
          <w:tcPr>
            <w:tcW w:w="80" w:type="dxa"/>
            <w:vAlign w:val="bottom"/>
            <w:tcBorders>
              <w:bottom w:val="single" w:sz="8" w:color="E3E1E9"/>
            </w:tcBorders>
          </w:tcPr>
          <w:p>
            <w:pPr>
              <w:spacing w:after="0"/>
              <w:rPr>
                <w:sz w:val="18"/>
                <w:szCs w:val="18"/>
                <w:color w:val="auto"/>
              </w:rPr>
            </w:pPr>
          </w:p>
        </w:tc>
        <w:tc>
          <w:tcPr>
            <w:tcW w:w="140" w:type="dxa"/>
            <w:vAlign w:val="bottom"/>
            <w:tcBorders>
              <w:bottom w:val="single" w:sz="8" w:color="B6B6B6"/>
            </w:tcBorders>
          </w:tcPr>
          <w:p>
            <w:pPr>
              <w:spacing w:after="0"/>
              <w:rPr>
                <w:sz w:val="18"/>
                <w:szCs w:val="18"/>
                <w:color w:val="auto"/>
              </w:rPr>
            </w:pPr>
          </w:p>
        </w:tc>
        <w:tc>
          <w:tcPr>
            <w:tcW w:w="1120" w:type="dxa"/>
            <w:vAlign w:val="bottom"/>
            <w:tcBorders>
              <w:bottom w:val="single" w:sz="8" w:color="B6B6B6"/>
            </w:tcBorders>
          </w:tcPr>
          <w:p>
            <w:pPr>
              <w:jc w:val="right"/>
              <w:ind w:right="359"/>
              <w:spacing w:after="0"/>
              <w:rPr>
                <w:sz w:val="20"/>
                <w:szCs w:val="20"/>
                <w:color w:val="auto"/>
              </w:rPr>
            </w:pPr>
            <w:r>
              <w:rPr>
                <w:rFonts w:ascii="Arial" w:cs="Arial" w:eastAsia="Arial" w:hAnsi="Arial"/>
                <w:sz w:val="16"/>
                <w:szCs w:val="16"/>
                <w:b w:val="1"/>
                <w:bCs w:val="1"/>
                <w:color w:val="503C64"/>
              </w:rPr>
              <w:t>2023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B6B6B6"/>
            </w:tcBorders>
          </w:tcPr>
          <w:p>
            <w:pPr>
              <w:spacing w:after="0"/>
              <w:rPr>
                <w:sz w:val="18"/>
                <w:szCs w:val="18"/>
                <w:color w:val="auto"/>
              </w:rPr>
            </w:pPr>
          </w:p>
        </w:tc>
        <w:tc>
          <w:tcPr>
            <w:tcW w:w="920" w:type="dxa"/>
            <w:vAlign w:val="bottom"/>
            <w:tcBorders>
              <w:bottom w:val="single" w:sz="8" w:color="B6B6B6"/>
            </w:tcBorders>
          </w:tcPr>
          <w:p>
            <w:pPr>
              <w:jc w:val="right"/>
              <w:ind w:right="359"/>
              <w:spacing w:after="0"/>
              <w:rPr>
                <w:sz w:val="20"/>
                <w:szCs w:val="20"/>
                <w:color w:val="auto"/>
              </w:rPr>
            </w:pPr>
            <w:r>
              <w:rPr>
                <w:rFonts w:ascii="Arial" w:cs="Arial" w:eastAsia="Arial" w:hAnsi="Arial"/>
                <w:sz w:val="16"/>
                <w:szCs w:val="16"/>
                <w:b w:val="1"/>
                <w:bCs w:val="1"/>
                <w:color w:val="503C64"/>
              </w:rPr>
              <w:t>2022</w:t>
            </w:r>
          </w:p>
        </w:tc>
        <w:tc>
          <w:tcPr>
            <w:tcW w:w="100" w:type="dxa"/>
            <w:vAlign w:val="bottom"/>
            <w:tcBorders>
              <w:bottom w:val="single" w:sz="8" w:color="E3E1E9"/>
            </w:tcBorders>
          </w:tcPr>
          <w:p>
            <w:pPr>
              <w:spacing w:after="0"/>
              <w:rPr>
                <w:sz w:val="18"/>
                <w:szCs w:val="18"/>
                <w:color w:val="auto"/>
              </w:rPr>
            </w:pPr>
          </w:p>
        </w:tc>
        <w:tc>
          <w:tcPr>
            <w:tcW w:w="24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ind w:right="359"/>
              <w:spacing w:after="0"/>
              <w:rPr>
                <w:sz w:val="20"/>
                <w:szCs w:val="20"/>
                <w:color w:val="auto"/>
              </w:rPr>
            </w:pPr>
            <w:r>
              <w:rPr>
                <w:rFonts w:ascii="Arial" w:cs="Arial" w:eastAsia="Arial" w:hAnsi="Arial"/>
                <w:sz w:val="16"/>
                <w:szCs w:val="16"/>
                <w:b w:val="1"/>
                <w:bCs w:val="1"/>
                <w:color w:val="503C64"/>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B6B6B6"/>
            </w:tcBorders>
          </w:tcPr>
          <w:p>
            <w:pPr>
              <w:spacing w:after="0"/>
              <w:rPr>
                <w:sz w:val="18"/>
                <w:szCs w:val="18"/>
                <w:color w:val="auto"/>
              </w:rPr>
            </w:pPr>
          </w:p>
        </w:tc>
        <w:tc>
          <w:tcPr>
            <w:tcW w:w="920" w:type="dxa"/>
            <w:vAlign w:val="bottom"/>
            <w:tcBorders>
              <w:bottom w:val="single" w:sz="8" w:color="B6B6B6"/>
            </w:tcBorders>
          </w:tcPr>
          <w:p>
            <w:pPr>
              <w:jc w:val="right"/>
              <w:ind w:right="359"/>
              <w:spacing w:after="0"/>
              <w:rPr>
                <w:sz w:val="20"/>
                <w:szCs w:val="20"/>
                <w:color w:val="auto"/>
              </w:rPr>
            </w:pPr>
            <w:r>
              <w:rPr>
                <w:rFonts w:ascii="Arial" w:cs="Arial" w:eastAsia="Arial" w:hAnsi="Arial"/>
                <w:sz w:val="16"/>
                <w:szCs w:val="16"/>
                <w:b w:val="1"/>
                <w:bCs w:val="1"/>
                <w:color w:val="503C64"/>
              </w:rPr>
              <w:t>2022</w:t>
            </w:r>
          </w:p>
        </w:tc>
      </w:tr>
      <w:tr>
        <w:trPr>
          <w:trHeight w:val="209"/>
        </w:trPr>
        <w:tc>
          <w:tcPr>
            <w:tcW w:w="590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165,545</w:t>
            </w:r>
          </w:p>
        </w:tc>
        <w:tc>
          <w:tcPr>
            <w:tcW w:w="400" w:type="dxa"/>
            <w:vAlign w:val="bottom"/>
            <w:gridSpan w:val="2"/>
            <w:shd w:val="clear" w:color="auto" w:fill="E3E1E9"/>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151,104</w:t>
            </w:r>
          </w:p>
        </w:tc>
        <w:tc>
          <w:tcPr>
            <w:tcW w:w="340" w:type="dxa"/>
            <w:vAlign w:val="bottom"/>
            <w:gridSpan w:val="2"/>
            <w:shd w:val="clear" w:color="auto" w:fill="E3E1E9"/>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296,971</w:t>
            </w:r>
          </w:p>
        </w:tc>
        <w:tc>
          <w:tcPr>
            <w:tcW w:w="420" w:type="dxa"/>
            <w:vAlign w:val="bottom"/>
            <w:gridSpan w:val="2"/>
            <w:shd w:val="clear" w:color="auto" w:fill="E3E1E9"/>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302,980</w:t>
            </w: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7"/>
        </w:trPr>
        <w:tc>
          <w:tcPr>
            <w:tcW w:w="590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106,216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90,587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176,179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177,832</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42,212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36,427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89,883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77,317</w:t>
            </w:r>
          </w:p>
        </w:tc>
      </w:tr>
      <w:tr>
        <w:trPr>
          <w:trHeight w:val="216"/>
        </w:trPr>
        <w:tc>
          <w:tcPr>
            <w:tcW w:w="5900" w:type="dxa"/>
            <w:vAlign w:val="bottom"/>
          </w:tcPr>
          <w:p>
            <w:pPr>
              <w:ind w:left="360"/>
              <w:spacing w:after="0"/>
              <w:rPr>
                <w:sz w:val="20"/>
                <w:szCs w:val="20"/>
                <w:color w:val="auto"/>
              </w:rPr>
            </w:pPr>
            <w:r>
              <w:rPr>
                <w:rFonts w:ascii="Arial" w:cs="Arial" w:eastAsia="Arial" w:hAnsi="Arial"/>
                <w:sz w:val="16"/>
                <w:szCs w:val="16"/>
                <w:color w:val="auto"/>
              </w:rPr>
              <w:t>Total compensation and benefits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148,428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266,062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255,149</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17,722</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Technology and infrastructure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15,077</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11,107</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Travel and related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5,935</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11,766</w:t>
            </w:r>
          </w:p>
        </w:tc>
      </w:tr>
      <w:tr>
        <w:trPr>
          <w:trHeight w:val="219"/>
        </w:trPr>
        <w:tc>
          <w:tcPr>
            <w:tcW w:w="59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5,596</w:t>
            </w:r>
          </w:p>
        </w:tc>
      </w:tr>
      <w:tr>
        <w:trPr>
          <w:trHeight w:val="219"/>
        </w:trPr>
        <w:tc>
          <w:tcPr>
            <w:tcW w:w="5900" w:type="dxa"/>
            <w:vAlign w:val="bottom"/>
            <w:shd w:val="clear" w:color="auto" w:fill="E3E1E9"/>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shd w:val="clear" w:color="auto" w:fill="E3E1E9"/>
          </w:tcPr>
          <w:p>
            <w:pPr>
              <w:spacing w:after="0"/>
              <w:rPr>
                <w:sz w:val="19"/>
                <w:szCs w:val="19"/>
                <w:color w:val="auto"/>
              </w:rPr>
            </w:pPr>
          </w:p>
        </w:tc>
        <w:tc>
          <w:tcPr>
            <w:tcW w:w="140" w:type="dxa"/>
            <w:vAlign w:val="bottom"/>
            <w:shd w:val="clear" w:color="auto" w:fill="E3E1E9"/>
          </w:tcPr>
          <w:p>
            <w:pPr>
              <w:spacing w:after="0"/>
              <w:rPr>
                <w:sz w:val="19"/>
                <w:szCs w:val="19"/>
                <w:color w:val="auto"/>
              </w:rPr>
            </w:pPr>
          </w:p>
        </w:tc>
        <w:tc>
          <w:tcPr>
            <w:tcW w:w="11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187,297</w:t>
            </w:r>
          </w:p>
        </w:tc>
        <w:tc>
          <w:tcPr>
            <w:tcW w:w="80" w:type="dxa"/>
            <w:vAlign w:val="bottom"/>
            <w:shd w:val="clear" w:color="auto" w:fill="E3E1E9"/>
          </w:tcPr>
          <w:p>
            <w:pPr>
              <w:spacing w:after="0"/>
              <w:rPr>
                <w:sz w:val="19"/>
                <w:szCs w:val="19"/>
                <w:color w:val="auto"/>
              </w:rPr>
            </w:pPr>
          </w:p>
        </w:tc>
        <w:tc>
          <w:tcPr>
            <w:tcW w:w="320" w:type="dxa"/>
            <w:vAlign w:val="bottom"/>
            <w:shd w:val="clear" w:color="auto" w:fill="E3E1E9"/>
          </w:tcPr>
          <w:p>
            <w:pPr>
              <w:spacing w:after="0"/>
              <w:rPr>
                <w:sz w:val="19"/>
                <w:szCs w:val="19"/>
                <w:color w:val="auto"/>
              </w:rPr>
            </w:pP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160,117</w:t>
            </w:r>
          </w:p>
        </w:tc>
        <w:tc>
          <w:tcPr>
            <w:tcW w:w="100" w:type="dxa"/>
            <w:vAlign w:val="bottom"/>
            <w:shd w:val="clear" w:color="auto" w:fill="E3E1E9"/>
          </w:tcPr>
          <w:p>
            <w:pPr>
              <w:spacing w:after="0"/>
              <w:rPr>
                <w:sz w:val="19"/>
                <w:szCs w:val="19"/>
                <w:color w:val="auto"/>
              </w:rPr>
            </w:pPr>
          </w:p>
        </w:tc>
        <w:tc>
          <w:tcPr>
            <w:tcW w:w="240" w:type="dxa"/>
            <w:vAlign w:val="bottom"/>
            <w:shd w:val="clear" w:color="auto" w:fill="E3E1E9"/>
          </w:tcPr>
          <w:p>
            <w:pPr>
              <w:spacing w:after="0"/>
              <w:rPr>
                <w:sz w:val="19"/>
                <w:szCs w:val="19"/>
                <w:color w:val="auto"/>
              </w:rPr>
            </w:pP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341,413</w:t>
            </w:r>
          </w:p>
        </w:tc>
        <w:tc>
          <w:tcPr>
            <w:tcW w:w="100" w:type="dxa"/>
            <w:vAlign w:val="bottom"/>
            <w:shd w:val="clear" w:color="auto" w:fill="E3E1E9"/>
          </w:tcPr>
          <w:p>
            <w:pPr>
              <w:spacing w:after="0"/>
              <w:rPr>
                <w:sz w:val="19"/>
                <w:szCs w:val="19"/>
                <w:color w:val="auto"/>
              </w:rPr>
            </w:pPr>
          </w:p>
        </w:tc>
        <w:tc>
          <w:tcPr>
            <w:tcW w:w="320" w:type="dxa"/>
            <w:vAlign w:val="bottom"/>
            <w:shd w:val="clear" w:color="auto" w:fill="E3E1E9"/>
          </w:tcPr>
          <w:p>
            <w:pPr>
              <w:spacing w:after="0"/>
              <w:rPr>
                <w:sz w:val="19"/>
                <w:szCs w:val="19"/>
                <w:color w:val="auto"/>
              </w:rPr>
            </w:pP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322,352</w:t>
            </w:r>
          </w:p>
        </w:tc>
      </w:tr>
      <w:tr>
        <w:trPr>
          <w:trHeight w:val="211"/>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(21,752)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(44,442)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(19,372)</w:t>
            </w:r>
          </w:p>
        </w:tc>
      </w:tr>
      <w:tr>
        <w:trPr>
          <w:trHeight w:val="224"/>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7"/>
        </w:trPr>
        <w:tc>
          <w:tcPr>
            <w:tcW w:w="5900" w:type="dxa"/>
            <w:vAlign w:val="bottom"/>
          </w:tcPr>
          <w:p>
            <w:pPr>
              <w:ind w:left="180"/>
              <w:spacing w:after="0"/>
              <w:rPr>
                <w:sz w:val="20"/>
                <w:szCs w:val="20"/>
                <w:color w:val="auto"/>
              </w:rPr>
            </w:pPr>
            <w:r>
              <w:rPr>
                <w:rFonts w:ascii="Arial" w:cs="Arial" w:eastAsia="Arial" w:hAnsi="Arial"/>
                <w:sz w:val="16"/>
                <w:szCs w:val="16"/>
                <w:color w:val="auto"/>
              </w:rPr>
              <w:t>Related party income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1,508</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5,619</w:t>
            </w:r>
          </w:p>
        </w:tc>
      </w:tr>
      <w:tr>
        <w:trPr>
          <w:trHeight w:val="216"/>
        </w:trPr>
        <w:tc>
          <w:tcPr>
            <w:tcW w:w="5900" w:type="dxa"/>
            <w:vAlign w:val="bottom"/>
          </w:tcPr>
          <w:p>
            <w:pPr>
              <w:ind w:left="180"/>
              <w:spacing w:after="0"/>
              <w:rPr>
                <w:sz w:val="20"/>
                <w:szCs w:val="20"/>
                <w:color w:val="auto"/>
              </w:rPr>
            </w:pPr>
            <w:r>
              <w:rPr>
                <w:rFonts w:ascii="Arial" w:cs="Arial" w:eastAsia="Arial" w:hAnsi="Arial"/>
                <w:sz w:val="16"/>
                <w:szCs w:val="16"/>
                <w:color w:val="auto"/>
              </w:rPr>
              <w:t>Change in fair value of warrant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22,100</w:t>
            </w:r>
          </w:p>
        </w:tc>
      </w:tr>
      <w:tr>
        <w:trPr>
          <w:trHeight w:val="216"/>
        </w:trPr>
        <w:tc>
          <w:tcPr>
            <w:tcW w:w="5900" w:type="dxa"/>
            <w:vAlign w:val="bottom"/>
          </w:tcPr>
          <w:p>
            <w:pPr>
              <w:ind w:left="360"/>
              <w:spacing w:after="0"/>
              <w:rPr>
                <w:sz w:val="20"/>
                <w:szCs w:val="20"/>
                <w:color w:val="auto"/>
              </w:rPr>
            </w:pPr>
            <w:r>
              <w:rPr>
                <w:rFonts w:ascii="Arial" w:cs="Arial" w:eastAsia="Arial" w:hAnsi="Arial"/>
                <w:sz w:val="16"/>
                <w:szCs w:val="16"/>
                <w:color w:val="auto"/>
              </w:rPr>
              <w:t>Total non-operating income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29,227</w:t>
            </w:r>
          </w:p>
        </w:tc>
      </w:tr>
      <w:tr>
        <w:trPr>
          <w:trHeight w:val="225"/>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(44,947)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9,855</w:t>
            </w:r>
          </w:p>
        </w:tc>
      </w:tr>
      <w:tr>
        <w:trPr>
          <w:trHeight w:val="210"/>
        </w:trPr>
        <w:tc>
          <w:tcPr>
            <w:tcW w:w="590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Income tax expense (benefit)</w:t>
            </w:r>
          </w:p>
        </w:tc>
        <w:tc>
          <w:tcPr>
            <w:tcW w:w="80" w:type="dxa"/>
            <w:vAlign w:val="bottom"/>
            <w:tcBorders>
              <w:bottom w:val="single" w:sz="8" w:color="B6B6B6"/>
            </w:tcBorders>
          </w:tcPr>
          <w:p>
            <w:pPr>
              <w:spacing w:after="0"/>
              <w:rPr>
                <w:sz w:val="18"/>
                <w:szCs w:val="18"/>
                <w:color w:val="auto"/>
              </w:rPr>
            </w:pPr>
          </w:p>
        </w:tc>
        <w:tc>
          <w:tcPr>
            <w:tcW w:w="140" w:type="dxa"/>
            <w:vAlign w:val="bottom"/>
            <w:tcBorders>
              <w:bottom w:val="single" w:sz="8" w:color="B6B6B6"/>
            </w:tcBorders>
          </w:tcPr>
          <w:p>
            <w:pPr>
              <w:spacing w:after="0"/>
              <w:rPr>
                <w:sz w:val="18"/>
                <w:szCs w:val="18"/>
                <w:color w:val="auto"/>
              </w:rPr>
            </w:pPr>
          </w:p>
        </w:tc>
        <w:tc>
          <w:tcPr>
            <w:tcW w:w="11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(4,543)</w:t>
            </w:r>
          </w:p>
        </w:tc>
        <w:tc>
          <w:tcPr>
            <w:tcW w:w="80" w:type="dxa"/>
            <w:vAlign w:val="bottom"/>
            <w:tcBorders>
              <w:bottom w:val="single" w:sz="8" w:color="B6B6B6"/>
            </w:tcBorders>
          </w:tcPr>
          <w:p>
            <w:pPr>
              <w:spacing w:after="0"/>
              <w:rPr>
                <w:sz w:val="18"/>
                <w:szCs w:val="18"/>
                <w:color w:val="auto"/>
              </w:rPr>
            </w:pPr>
          </w:p>
        </w:tc>
        <w:tc>
          <w:tcPr>
            <w:tcW w:w="320" w:type="dxa"/>
            <w:vAlign w:val="bottom"/>
            <w:tcBorders>
              <w:bottom w:val="single" w:sz="8" w:color="B6B6B6"/>
            </w:tcBorders>
          </w:tcPr>
          <w:p>
            <w:pPr>
              <w:spacing w:after="0"/>
              <w:rPr>
                <w:sz w:val="18"/>
                <w:szCs w:val="18"/>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3,141</w:t>
            </w:r>
          </w:p>
        </w:tc>
        <w:tc>
          <w:tcPr>
            <w:tcW w:w="100" w:type="dxa"/>
            <w:vAlign w:val="bottom"/>
            <w:tcBorders>
              <w:bottom w:val="single" w:sz="8" w:color="B6B6B6"/>
            </w:tcBorders>
          </w:tcPr>
          <w:p>
            <w:pPr>
              <w:spacing w:after="0"/>
              <w:rPr>
                <w:sz w:val="18"/>
                <w:szCs w:val="18"/>
                <w:color w:val="auto"/>
              </w:rPr>
            </w:pPr>
          </w:p>
        </w:tc>
        <w:tc>
          <w:tcPr>
            <w:tcW w:w="24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B6B6B6"/>
            </w:tcBorders>
          </w:tcPr>
          <w:p>
            <w:pPr>
              <w:spacing w:after="0"/>
              <w:rPr>
                <w:sz w:val="18"/>
                <w:szCs w:val="18"/>
                <w:color w:val="auto"/>
              </w:rPr>
            </w:pPr>
          </w:p>
        </w:tc>
        <w:tc>
          <w:tcPr>
            <w:tcW w:w="320" w:type="dxa"/>
            <w:vAlign w:val="bottom"/>
            <w:tcBorders>
              <w:bottom w:val="single" w:sz="8" w:color="B6B6B6"/>
            </w:tcBorders>
          </w:tcPr>
          <w:p>
            <w:pPr>
              <w:spacing w:after="0"/>
              <w:rPr>
                <w:sz w:val="18"/>
                <w:szCs w:val="18"/>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6,137</w:t>
            </w:r>
          </w:p>
        </w:tc>
      </w:tr>
      <w:tr>
        <w:trPr>
          <w:trHeight w:val="208"/>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3,718</w:t>
            </w:r>
          </w:p>
        </w:tc>
      </w:tr>
      <w:tr>
        <w:trPr>
          <w:trHeight w:val="221"/>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(14,441)</w:t>
            </w:r>
          </w:p>
        </w:tc>
      </w:tr>
      <w:tr>
        <w:trPr>
          <w:trHeight w:val="216"/>
        </w:trPr>
        <w:tc>
          <w:tcPr>
            <w:tcW w:w="590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2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359</w:t>
            </w:r>
          </w:p>
        </w:tc>
        <w:tc>
          <w:tcPr>
            <w:tcW w:w="400" w:type="dxa"/>
            <w:vAlign w:val="bottom"/>
            <w:gridSpan w:val="2"/>
            <w:shd w:val="clear" w:color="auto" w:fill="E3E1E9"/>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9,265</w:t>
            </w:r>
          </w:p>
        </w:tc>
        <w:tc>
          <w:tcPr>
            <w:tcW w:w="340" w:type="dxa"/>
            <w:vAlign w:val="bottom"/>
            <w:gridSpan w:val="2"/>
            <w:shd w:val="clear" w:color="auto" w:fill="E3E1E9"/>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(4,764)</w:t>
            </w:r>
          </w:p>
        </w:tc>
        <w:tc>
          <w:tcPr>
            <w:tcW w:w="420" w:type="dxa"/>
            <w:vAlign w:val="bottom"/>
            <w:gridSpan w:val="2"/>
            <w:shd w:val="clear" w:color="auto" w:fill="E3E1E9"/>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18,159</w:t>
            </w:r>
          </w:p>
        </w:tc>
      </w:tr>
      <w:tr>
        <w:trPr>
          <w:trHeight w:val="216"/>
        </w:trPr>
        <w:tc>
          <w:tcPr>
            <w:tcW w:w="590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per share attributable to Class A common shareholders</w:t>
            </w: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spacing w:after="0"/>
              <w:rPr>
                <w:sz w:val="18"/>
                <w:szCs w:val="18"/>
                <w:color w:val="auto"/>
              </w:rPr>
            </w:pPr>
          </w:p>
        </w:tc>
        <w:tc>
          <w:tcPr>
            <w:tcW w:w="1120" w:type="dxa"/>
            <w:vAlign w:val="bottom"/>
            <w:shd w:val="clear" w:color="auto" w:fill="E3E1E9"/>
          </w:tcPr>
          <w:p>
            <w:pPr>
              <w:spacing w:after="0"/>
              <w:rPr>
                <w:sz w:val="18"/>
                <w:szCs w:val="18"/>
                <w:color w:val="auto"/>
              </w:rPr>
            </w:pPr>
          </w:p>
        </w:tc>
        <w:tc>
          <w:tcPr>
            <w:tcW w:w="80" w:type="dxa"/>
            <w:vAlign w:val="bottom"/>
            <w:shd w:val="clear" w:color="auto" w:fill="E3E1E9"/>
          </w:tcPr>
          <w:p>
            <w:pPr>
              <w:spacing w:after="0"/>
              <w:rPr>
                <w:sz w:val="18"/>
                <w:szCs w:val="18"/>
                <w:color w:val="auto"/>
              </w:rPr>
            </w:pPr>
          </w:p>
        </w:tc>
        <w:tc>
          <w:tcPr>
            <w:tcW w:w="320" w:type="dxa"/>
            <w:vAlign w:val="bottom"/>
            <w:shd w:val="clear" w:color="auto" w:fill="E3E1E9"/>
          </w:tcPr>
          <w:p>
            <w:pPr>
              <w:spacing w:after="0"/>
              <w:rPr>
                <w:sz w:val="18"/>
                <w:szCs w:val="18"/>
                <w:color w:val="auto"/>
              </w:rPr>
            </w:pPr>
          </w:p>
        </w:tc>
        <w:tc>
          <w:tcPr>
            <w:tcW w:w="920" w:type="dxa"/>
            <w:vAlign w:val="bottom"/>
            <w:shd w:val="clear" w:color="auto" w:fill="E3E1E9"/>
          </w:tcPr>
          <w:p>
            <w:pPr>
              <w:spacing w:after="0"/>
              <w:rPr>
                <w:sz w:val="18"/>
                <w:szCs w:val="18"/>
                <w:color w:val="auto"/>
              </w:rPr>
            </w:pPr>
          </w:p>
        </w:tc>
        <w:tc>
          <w:tcPr>
            <w:tcW w:w="1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c>
          <w:tcPr>
            <w:tcW w:w="100" w:type="dxa"/>
            <w:vAlign w:val="bottom"/>
            <w:shd w:val="clear" w:color="auto" w:fill="E3E1E9"/>
          </w:tcPr>
          <w:p>
            <w:pPr>
              <w:spacing w:after="0"/>
              <w:rPr>
                <w:sz w:val="18"/>
                <w:szCs w:val="18"/>
                <w:color w:val="auto"/>
              </w:rPr>
            </w:pPr>
          </w:p>
        </w:tc>
        <w:tc>
          <w:tcPr>
            <w:tcW w:w="320" w:type="dxa"/>
            <w:vAlign w:val="bottom"/>
            <w:shd w:val="clear" w:color="auto" w:fill="E3E1E9"/>
          </w:tcPr>
          <w:p>
            <w:pPr>
              <w:spacing w:after="0"/>
              <w:rPr>
                <w:sz w:val="18"/>
                <w:szCs w:val="18"/>
                <w:color w:val="auto"/>
              </w:rPr>
            </w:pPr>
          </w:p>
        </w:tc>
        <w:tc>
          <w:tcPr>
            <w:tcW w:w="920" w:type="dxa"/>
            <w:vAlign w:val="bottom"/>
            <w:shd w:val="clear" w:color="auto" w:fill="E3E1E9"/>
          </w:tcPr>
          <w:p>
            <w:pPr>
              <w:spacing w:after="0"/>
              <w:rPr>
                <w:sz w:val="18"/>
                <w:szCs w:val="18"/>
                <w:color w:val="auto"/>
              </w:rPr>
            </w:pPr>
          </w:p>
        </w:tc>
      </w:tr>
      <w:tr>
        <w:trPr>
          <w:trHeight w:val="210"/>
        </w:trPr>
        <w:tc>
          <w:tcPr>
            <w:tcW w:w="590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0.01</w:t>
            </w:r>
          </w:p>
        </w:tc>
        <w:tc>
          <w:tcPr>
            <w:tcW w:w="400" w:type="dxa"/>
            <w:vAlign w:val="bottom"/>
            <w:gridSpan w:val="2"/>
            <w:shd w:val="clear" w:color="auto" w:fill="E3E1E9"/>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0.21</w:t>
            </w:r>
          </w:p>
        </w:tc>
        <w:tc>
          <w:tcPr>
            <w:tcW w:w="340" w:type="dxa"/>
            <w:vAlign w:val="bottom"/>
            <w:gridSpan w:val="2"/>
            <w:shd w:val="clear" w:color="auto" w:fill="E3E1E9"/>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(0.11)</w:t>
            </w:r>
          </w:p>
        </w:tc>
        <w:tc>
          <w:tcPr>
            <w:tcW w:w="420" w:type="dxa"/>
            <w:vAlign w:val="bottom"/>
            <w:gridSpan w:val="2"/>
            <w:shd w:val="clear" w:color="auto" w:fill="E3E1E9"/>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0.40</w:t>
            </w:r>
          </w:p>
        </w:tc>
      </w:tr>
      <w:tr>
        <w:trPr>
          <w:trHeight w:val="216"/>
        </w:trPr>
        <w:tc>
          <w:tcPr>
            <w:tcW w:w="590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(0.19)</w:t>
            </w:r>
          </w:p>
        </w:tc>
        <w:tc>
          <w:tcPr>
            <w:tcW w:w="400" w:type="dxa"/>
            <w:vAlign w:val="bottom"/>
            <w:gridSpan w:val="2"/>
            <w:shd w:val="clear" w:color="auto" w:fill="E3E1E9"/>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0.00</w:t>
            </w:r>
          </w:p>
        </w:tc>
        <w:tc>
          <w:tcPr>
            <w:tcW w:w="340" w:type="dxa"/>
            <w:vAlign w:val="bottom"/>
            <w:gridSpan w:val="2"/>
            <w:shd w:val="clear" w:color="auto" w:fill="E3E1E9"/>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(0.56)</w:t>
            </w:r>
          </w:p>
        </w:tc>
        <w:tc>
          <w:tcPr>
            <w:tcW w:w="420" w:type="dxa"/>
            <w:vAlign w:val="bottom"/>
            <w:gridSpan w:val="2"/>
            <w:shd w:val="clear" w:color="auto" w:fill="E3E1E9"/>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(0.01)</w:t>
            </w:r>
          </w:p>
        </w:tc>
      </w:tr>
      <w:tr>
        <w:trPr>
          <w:trHeight w:val="222"/>
        </w:trPr>
        <w:tc>
          <w:tcPr>
            <w:tcW w:w="590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w:t>
            </w:r>
          </w:p>
        </w:tc>
        <w:tc>
          <w:tcPr>
            <w:tcW w:w="80" w:type="dxa"/>
            <w:vAlign w:val="bottom"/>
            <w:shd w:val="clear" w:color="auto" w:fill="E3E1E9"/>
          </w:tcPr>
          <w:p>
            <w:pPr>
              <w:spacing w:after="0"/>
              <w:rPr>
                <w:sz w:val="19"/>
                <w:szCs w:val="19"/>
                <w:color w:val="auto"/>
              </w:rPr>
            </w:pPr>
          </w:p>
        </w:tc>
        <w:tc>
          <w:tcPr>
            <w:tcW w:w="140" w:type="dxa"/>
            <w:vAlign w:val="bottom"/>
            <w:shd w:val="clear" w:color="auto" w:fill="E3E1E9"/>
          </w:tcPr>
          <w:p>
            <w:pPr>
              <w:spacing w:after="0"/>
              <w:rPr>
                <w:sz w:val="19"/>
                <w:szCs w:val="19"/>
                <w:color w:val="auto"/>
              </w:rPr>
            </w:pPr>
          </w:p>
        </w:tc>
        <w:tc>
          <w:tcPr>
            <w:tcW w:w="1120" w:type="dxa"/>
            <w:vAlign w:val="bottom"/>
            <w:shd w:val="clear" w:color="auto" w:fill="E3E1E9"/>
          </w:tcPr>
          <w:p>
            <w:pPr>
              <w:spacing w:after="0"/>
              <w:rPr>
                <w:sz w:val="19"/>
                <w:szCs w:val="19"/>
                <w:color w:val="auto"/>
              </w:rPr>
            </w:pPr>
          </w:p>
        </w:tc>
        <w:tc>
          <w:tcPr>
            <w:tcW w:w="80" w:type="dxa"/>
            <w:vAlign w:val="bottom"/>
            <w:shd w:val="clear" w:color="auto" w:fill="E3E1E9"/>
          </w:tcPr>
          <w:p>
            <w:pPr>
              <w:spacing w:after="0"/>
              <w:rPr>
                <w:sz w:val="19"/>
                <w:szCs w:val="19"/>
                <w:color w:val="auto"/>
              </w:rPr>
            </w:pPr>
          </w:p>
        </w:tc>
        <w:tc>
          <w:tcPr>
            <w:tcW w:w="320" w:type="dxa"/>
            <w:vAlign w:val="bottom"/>
            <w:shd w:val="clear" w:color="auto" w:fill="E3E1E9"/>
          </w:tcPr>
          <w:p>
            <w:pPr>
              <w:spacing w:after="0"/>
              <w:rPr>
                <w:sz w:val="19"/>
                <w:szCs w:val="19"/>
                <w:color w:val="auto"/>
              </w:rPr>
            </w:pPr>
          </w:p>
        </w:tc>
        <w:tc>
          <w:tcPr>
            <w:tcW w:w="920" w:type="dxa"/>
            <w:vAlign w:val="bottom"/>
            <w:shd w:val="clear" w:color="auto" w:fill="E3E1E9"/>
          </w:tcPr>
          <w:p>
            <w:pPr>
              <w:spacing w:after="0"/>
              <w:rPr>
                <w:sz w:val="19"/>
                <w:szCs w:val="19"/>
                <w:color w:val="auto"/>
              </w:rPr>
            </w:pPr>
          </w:p>
        </w:tc>
        <w:tc>
          <w:tcPr>
            <w:tcW w:w="100" w:type="dxa"/>
            <w:vAlign w:val="bottom"/>
            <w:shd w:val="clear" w:color="auto" w:fill="E3E1E9"/>
          </w:tcPr>
          <w:p>
            <w:pPr>
              <w:spacing w:after="0"/>
              <w:rPr>
                <w:sz w:val="19"/>
                <w:szCs w:val="19"/>
                <w:color w:val="auto"/>
              </w:rPr>
            </w:pPr>
          </w:p>
        </w:tc>
        <w:tc>
          <w:tcPr>
            <w:tcW w:w="240" w:type="dxa"/>
            <w:vAlign w:val="bottom"/>
            <w:shd w:val="clear" w:color="auto" w:fill="E3E1E9"/>
          </w:tcPr>
          <w:p>
            <w:pPr>
              <w:spacing w:after="0"/>
              <w:rPr>
                <w:sz w:val="19"/>
                <w:szCs w:val="19"/>
                <w:color w:val="auto"/>
              </w:rPr>
            </w:pPr>
          </w:p>
        </w:tc>
        <w:tc>
          <w:tcPr>
            <w:tcW w:w="1000" w:type="dxa"/>
            <w:vAlign w:val="bottom"/>
            <w:shd w:val="clear" w:color="auto" w:fill="E3E1E9"/>
          </w:tcPr>
          <w:p>
            <w:pPr>
              <w:spacing w:after="0"/>
              <w:rPr>
                <w:sz w:val="19"/>
                <w:szCs w:val="19"/>
                <w:color w:val="auto"/>
              </w:rPr>
            </w:pPr>
          </w:p>
        </w:tc>
        <w:tc>
          <w:tcPr>
            <w:tcW w:w="100" w:type="dxa"/>
            <w:vAlign w:val="bottom"/>
            <w:shd w:val="clear" w:color="auto" w:fill="E3E1E9"/>
          </w:tcPr>
          <w:p>
            <w:pPr>
              <w:spacing w:after="0"/>
              <w:rPr>
                <w:sz w:val="19"/>
                <w:szCs w:val="19"/>
                <w:color w:val="auto"/>
              </w:rPr>
            </w:pPr>
          </w:p>
        </w:tc>
        <w:tc>
          <w:tcPr>
            <w:tcW w:w="320" w:type="dxa"/>
            <w:vAlign w:val="bottom"/>
            <w:shd w:val="clear" w:color="auto" w:fill="E3E1E9"/>
          </w:tcPr>
          <w:p>
            <w:pPr>
              <w:spacing w:after="0"/>
              <w:rPr>
                <w:sz w:val="19"/>
                <w:szCs w:val="19"/>
                <w:color w:val="auto"/>
              </w:rPr>
            </w:pPr>
          </w:p>
        </w:tc>
        <w:tc>
          <w:tcPr>
            <w:tcW w:w="920" w:type="dxa"/>
            <w:vAlign w:val="bottom"/>
            <w:shd w:val="clear" w:color="auto" w:fill="E3E1E9"/>
          </w:tcPr>
          <w:p>
            <w:pPr>
              <w:spacing w:after="0"/>
              <w:rPr>
                <w:sz w:val="19"/>
                <w:szCs w:val="19"/>
                <w:color w:val="auto"/>
              </w:rPr>
            </w:pPr>
          </w:p>
        </w:tc>
      </w:tr>
      <w:tr>
        <w:trPr>
          <w:trHeight w:val="210"/>
        </w:trPr>
        <w:tc>
          <w:tcPr>
            <w:tcW w:w="590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40" w:type="dxa"/>
            <w:vAlign w:val="bottom"/>
            <w:shd w:val="clear" w:color="auto" w:fill="E3E1E9"/>
          </w:tcPr>
          <w:p>
            <w:pPr>
              <w:spacing w:after="0"/>
              <w:rPr>
                <w:sz w:val="18"/>
                <w:szCs w:val="18"/>
                <w:color w:val="auto"/>
              </w:rPr>
            </w:pPr>
          </w:p>
        </w:tc>
        <w:tc>
          <w:tcPr>
            <w:tcW w:w="11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42,743,611</w:t>
            </w:r>
          </w:p>
        </w:tc>
        <w:tc>
          <w:tcPr>
            <w:tcW w:w="80" w:type="dxa"/>
            <w:vAlign w:val="bottom"/>
            <w:shd w:val="clear" w:color="auto" w:fill="E3E1E9"/>
          </w:tcPr>
          <w:p>
            <w:pPr>
              <w:spacing w:after="0"/>
              <w:rPr>
                <w:sz w:val="18"/>
                <w:szCs w:val="18"/>
                <w:color w:val="auto"/>
              </w:rPr>
            </w:pPr>
          </w:p>
        </w:tc>
        <w:tc>
          <w:tcPr>
            <w:tcW w:w="320" w:type="dxa"/>
            <w:vAlign w:val="bottom"/>
            <w:shd w:val="clear" w:color="auto" w:fill="E3E1E9"/>
          </w:tcPr>
          <w:p>
            <w:pPr>
              <w:spacing w:after="0"/>
              <w:rPr>
                <w:sz w:val="18"/>
                <w:szCs w:val="18"/>
                <w:color w:val="auto"/>
              </w:rPr>
            </w:pP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44,584,181</w:t>
            </w:r>
          </w:p>
        </w:tc>
        <w:tc>
          <w:tcPr>
            <w:tcW w:w="100" w:type="dxa"/>
            <w:vAlign w:val="bottom"/>
            <w:shd w:val="clear" w:color="auto" w:fill="E3E1E9"/>
          </w:tcPr>
          <w:p>
            <w:pPr>
              <w:spacing w:after="0"/>
              <w:rPr>
                <w:sz w:val="18"/>
                <w:szCs w:val="18"/>
                <w:color w:val="auto"/>
              </w:rPr>
            </w:pPr>
          </w:p>
        </w:tc>
        <w:tc>
          <w:tcPr>
            <w:tcW w:w="240" w:type="dxa"/>
            <w:vAlign w:val="bottom"/>
            <w:shd w:val="clear" w:color="auto" w:fill="E3E1E9"/>
          </w:tcPr>
          <w:p>
            <w:pPr>
              <w:spacing w:after="0"/>
              <w:rPr>
                <w:sz w:val="18"/>
                <w:szCs w:val="18"/>
                <w:color w:val="auto"/>
              </w:rPr>
            </w:pP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42,531,895</w:t>
            </w:r>
          </w:p>
        </w:tc>
        <w:tc>
          <w:tcPr>
            <w:tcW w:w="100" w:type="dxa"/>
            <w:vAlign w:val="bottom"/>
            <w:shd w:val="clear" w:color="auto" w:fill="E3E1E9"/>
          </w:tcPr>
          <w:p>
            <w:pPr>
              <w:spacing w:after="0"/>
              <w:rPr>
                <w:sz w:val="18"/>
                <w:szCs w:val="18"/>
                <w:color w:val="auto"/>
              </w:rPr>
            </w:pPr>
          </w:p>
        </w:tc>
        <w:tc>
          <w:tcPr>
            <w:tcW w:w="320" w:type="dxa"/>
            <w:vAlign w:val="bottom"/>
            <w:shd w:val="clear" w:color="auto" w:fill="E3E1E9"/>
          </w:tcPr>
          <w:p>
            <w:pPr>
              <w:spacing w:after="0"/>
              <w:rPr>
                <w:sz w:val="18"/>
                <w:szCs w:val="18"/>
                <w:color w:val="auto"/>
              </w:rPr>
            </w:pP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45,247,373</w:t>
            </w:r>
          </w:p>
        </w:tc>
      </w:tr>
      <w:tr>
        <w:trPr>
          <w:trHeight w:val="222"/>
        </w:trPr>
        <w:tc>
          <w:tcPr>
            <w:tcW w:w="590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9"/>
                <w:szCs w:val="19"/>
                <w:color w:val="auto"/>
              </w:rPr>
            </w:pPr>
          </w:p>
        </w:tc>
        <w:tc>
          <w:tcPr>
            <w:tcW w:w="140" w:type="dxa"/>
            <w:vAlign w:val="bottom"/>
            <w:shd w:val="clear" w:color="auto" w:fill="E3E1E9"/>
          </w:tcPr>
          <w:p>
            <w:pPr>
              <w:spacing w:after="0"/>
              <w:rPr>
                <w:sz w:val="19"/>
                <w:szCs w:val="19"/>
                <w:color w:val="auto"/>
              </w:rPr>
            </w:pPr>
          </w:p>
        </w:tc>
        <w:tc>
          <w:tcPr>
            <w:tcW w:w="11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86,521,626</w:t>
            </w:r>
          </w:p>
        </w:tc>
        <w:tc>
          <w:tcPr>
            <w:tcW w:w="80" w:type="dxa"/>
            <w:vAlign w:val="bottom"/>
            <w:shd w:val="clear" w:color="auto" w:fill="E3E1E9"/>
          </w:tcPr>
          <w:p>
            <w:pPr>
              <w:spacing w:after="0"/>
              <w:rPr>
                <w:sz w:val="19"/>
                <w:szCs w:val="19"/>
                <w:color w:val="auto"/>
              </w:rPr>
            </w:pPr>
          </w:p>
        </w:tc>
        <w:tc>
          <w:tcPr>
            <w:tcW w:w="320" w:type="dxa"/>
            <w:vAlign w:val="bottom"/>
            <w:shd w:val="clear" w:color="auto" w:fill="E3E1E9"/>
          </w:tcPr>
          <w:p>
            <w:pPr>
              <w:spacing w:after="0"/>
              <w:rPr>
                <w:sz w:val="19"/>
                <w:szCs w:val="19"/>
                <w:color w:val="auto"/>
              </w:rPr>
            </w:pP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90,688,871</w:t>
            </w:r>
          </w:p>
        </w:tc>
        <w:tc>
          <w:tcPr>
            <w:tcW w:w="100" w:type="dxa"/>
            <w:vAlign w:val="bottom"/>
            <w:shd w:val="clear" w:color="auto" w:fill="E3E1E9"/>
          </w:tcPr>
          <w:p>
            <w:pPr>
              <w:spacing w:after="0"/>
              <w:rPr>
                <w:sz w:val="19"/>
                <w:szCs w:val="19"/>
                <w:color w:val="auto"/>
              </w:rPr>
            </w:pPr>
          </w:p>
        </w:tc>
        <w:tc>
          <w:tcPr>
            <w:tcW w:w="240" w:type="dxa"/>
            <w:vAlign w:val="bottom"/>
            <w:shd w:val="clear" w:color="auto" w:fill="E3E1E9"/>
          </w:tcPr>
          <w:p>
            <w:pPr>
              <w:spacing w:after="0"/>
              <w:rPr>
                <w:sz w:val="19"/>
                <w:szCs w:val="19"/>
                <w:color w:val="auto"/>
              </w:rPr>
            </w:pP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86,566,075</w:t>
            </w:r>
          </w:p>
        </w:tc>
        <w:tc>
          <w:tcPr>
            <w:tcW w:w="100" w:type="dxa"/>
            <w:vAlign w:val="bottom"/>
            <w:shd w:val="clear" w:color="auto" w:fill="E3E1E9"/>
          </w:tcPr>
          <w:p>
            <w:pPr>
              <w:spacing w:after="0"/>
              <w:rPr>
                <w:sz w:val="19"/>
                <w:szCs w:val="19"/>
                <w:color w:val="auto"/>
              </w:rPr>
            </w:pPr>
          </w:p>
        </w:tc>
        <w:tc>
          <w:tcPr>
            <w:tcW w:w="320" w:type="dxa"/>
            <w:vAlign w:val="bottom"/>
            <w:shd w:val="clear" w:color="auto" w:fill="E3E1E9"/>
          </w:tcPr>
          <w:p>
            <w:pPr>
              <w:spacing w:after="0"/>
              <w:rPr>
                <w:sz w:val="19"/>
                <w:szCs w:val="19"/>
                <w:color w:val="auto"/>
              </w:rPr>
            </w:pPr>
          </w:p>
        </w:tc>
        <w:tc>
          <w:tcPr>
            <w:tcW w:w="9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91,953,077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8"/>
        <w:spacing w:after="0" w:line="257" w:lineRule="auto"/>
        <w:tabs>
          <w:tab w:leader="none" w:pos="9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2"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08"/>
              <w:spacing w:after="0"/>
              <w:rPr>
                <w:sz w:val="20"/>
                <w:szCs w:val="20"/>
                <w:color w:val="auto"/>
              </w:rPr>
            </w:pPr>
            <w:r>
              <w:rPr>
                <w:rFonts w:ascii="Arial" w:cs="Arial" w:eastAsia="Arial" w:hAnsi="Arial"/>
                <w:sz w:val="16"/>
                <w:szCs w:val="16"/>
                <w:b w:val="1"/>
                <w:bCs w:val="1"/>
                <w:color w:val="503C64"/>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408"/>
              <w:spacing w:after="0"/>
              <w:rPr>
                <w:sz w:val="20"/>
                <w:szCs w:val="20"/>
                <w:color w:val="auto"/>
              </w:rPr>
            </w:pPr>
            <w:r>
              <w:rPr>
                <w:rFonts w:ascii="Arial" w:cs="Arial" w:eastAsia="Arial" w:hAnsi="Arial"/>
                <w:sz w:val="16"/>
                <w:szCs w:val="16"/>
                <w:b w:val="1"/>
                <w:bCs w:val="1"/>
                <w:color w:val="503C64"/>
              </w:rPr>
              <w:t>Six Months Ended</w:t>
            </w:r>
          </w:p>
        </w:tc>
      </w:tr>
      <w:tr>
        <w:trPr>
          <w:trHeight w:val="227"/>
        </w:trPr>
        <w:tc>
          <w:tcPr>
            <w:tcW w:w="5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503C64"/>
              </w:rPr>
              <w:t>June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503C64"/>
              </w:rPr>
              <w:t>June 30,</w:t>
            </w:r>
          </w:p>
        </w:tc>
        <w:tc>
          <w:tcPr>
            <w:tcW w:w="820" w:type="dxa"/>
            <w:vAlign w:val="bottom"/>
          </w:tcPr>
          <w:p>
            <w:pPr>
              <w:spacing w:after="0"/>
              <w:rPr>
                <w:sz w:val="19"/>
                <w:szCs w:val="19"/>
                <w:color w:val="auto"/>
              </w:rPr>
            </w:pPr>
          </w:p>
        </w:tc>
      </w:tr>
      <w:tr>
        <w:trPr>
          <w:trHeight w:val="21"/>
        </w:trPr>
        <w:tc>
          <w:tcPr>
            <w:tcW w:w="570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380" w:type="dxa"/>
            <w:vAlign w:val="bottom"/>
            <w:tcBorders>
              <w:bottom w:val="single" w:sz="8" w:color="B6B6B6"/>
            </w:tcBorders>
          </w:tcPr>
          <w:p>
            <w:pPr>
              <w:spacing w:after="0" w:line="20" w:lineRule="exact"/>
              <w:rPr>
                <w:sz w:val="1"/>
                <w:szCs w:val="1"/>
                <w:color w:val="auto"/>
              </w:rPr>
            </w:pPr>
          </w:p>
        </w:tc>
        <w:tc>
          <w:tcPr>
            <w:tcW w:w="8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B6B6B6"/>
            </w:tcBorders>
          </w:tcPr>
          <w:p>
            <w:pPr>
              <w:spacing w:after="0" w:line="20" w:lineRule="exact"/>
              <w:rPr>
                <w:sz w:val="1"/>
                <w:szCs w:val="1"/>
                <w:color w:val="auto"/>
              </w:rPr>
            </w:pPr>
          </w:p>
        </w:tc>
        <w:tc>
          <w:tcPr>
            <w:tcW w:w="960" w:type="dxa"/>
            <w:vAlign w:val="bottom"/>
            <w:tcBorders>
              <w:bottom w:val="single" w:sz="8" w:color="B6B6B6"/>
            </w:tcBorders>
          </w:tcPr>
          <w:p>
            <w:pPr>
              <w:spacing w:after="0" w:line="20" w:lineRule="exact"/>
              <w:rPr>
                <w:sz w:val="1"/>
                <w:szCs w:val="1"/>
                <w:color w:val="auto"/>
              </w:rPr>
            </w:pPr>
          </w:p>
        </w:tc>
        <w:tc>
          <w:tcPr>
            <w:tcW w:w="380" w:type="dxa"/>
            <w:vAlign w:val="bottom"/>
            <w:tcBorders>
              <w:bottom w:val="single" w:sz="8" w:color="B6B6B6"/>
            </w:tcBorders>
          </w:tcPr>
          <w:p>
            <w:pPr>
              <w:spacing w:after="0" w:line="20" w:lineRule="exact"/>
              <w:rPr>
                <w:sz w:val="1"/>
                <w:szCs w:val="1"/>
                <w:color w:val="auto"/>
              </w:rPr>
            </w:pPr>
          </w:p>
        </w:tc>
        <w:tc>
          <w:tcPr>
            <w:tcW w:w="820" w:type="dxa"/>
            <w:vAlign w:val="bottom"/>
            <w:tcBorders>
              <w:bottom w:val="single" w:sz="8" w:color="B6B6B6"/>
            </w:tcBorders>
          </w:tcPr>
          <w:p>
            <w:pPr>
              <w:spacing w:after="0" w:line="20" w:lineRule="exact"/>
              <w:rPr>
                <w:sz w:val="1"/>
                <w:szCs w:val="1"/>
                <w:color w:val="auto"/>
              </w:rPr>
            </w:pPr>
          </w:p>
        </w:tc>
      </w:tr>
      <w:tr>
        <w:trPr>
          <w:trHeight w:val="183"/>
        </w:trPr>
        <w:tc>
          <w:tcPr>
            <w:tcW w:w="5700" w:type="dxa"/>
            <w:vAlign w:val="bottom"/>
            <w:tcBorders>
              <w:bottom w:val="single" w:sz="8" w:color="B6B6B6"/>
            </w:tcBorders>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96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B6B6B6"/>
            </w:tcBorders>
          </w:tcPr>
          <w:p>
            <w:pPr>
              <w:spacing w:after="0"/>
              <w:rPr>
                <w:sz w:val="15"/>
                <w:szCs w:val="15"/>
                <w:color w:val="auto"/>
              </w:rPr>
            </w:pPr>
          </w:p>
        </w:tc>
        <w:tc>
          <w:tcPr>
            <w:tcW w:w="820" w:type="dxa"/>
            <w:vAlign w:val="bottom"/>
            <w:tcBorders>
              <w:bottom w:val="single" w:sz="8" w:color="B6B6B6"/>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B6B6B6"/>
            </w:tcBorders>
          </w:tcPr>
          <w:p>
            <w:pPr>
              <w:spacing w:after="0"/>
              <w:rPr>
                <w:sz w:val="15"/>
                <w:szCs w:val="15"/>
                <w:color w:val="auto"/>
              </w:rPr>
            </w:pPr>
          </w:p>
        </w:tc>
        <w:tc>
          <w:tcPr>
            <w:tcW w:w="220" w:type="dxa"/>
            <w:vAlign w:val="bottom"/>
            <w:tcBorders>
              <w:bottom w:val="single" w:sz="8" w:color="B6B6B6"/>
            </w:tcBorders>
          </w:tcPr>
          <w:p>
            <w:pPr>
              <w:spacing w:after="0"/>
              <w:rPr>
                <w:sz w:val="15"/>
                <w:szCs w:val="15"/>
                <w:color w:val="auto"/>
              </w:rPr>
            </w:pPr>
          </w:p>
        </w:tc>
        <w:tc>
          <w:tcPr>
            <w:tcW w:w="96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503C64"/>
              </w:rPr>
              <w:t>2023</w:t>
            </w:r>
          </w:p>
        </w:tc>
        <w:tc>
          <w:tcPr>
            <w:tcW w:w="380" w:type="dxa"/>
            <w:vAlign w:val="bottom"/>
            <w:tcBorders>
              <w:bottom w:val="single" w:sz="8" w:color="B6B6B6"/>
            </w:tcBorders>
          </w:tcPr>
          <w:p>
            <w:pPr>
              <w:spacing w:after="0"/>
              <w:rPr>
                <w:sz w:val="15"/>
                <w:szCs w:val="15"/>
                <w:color w:val="auto"/>
              </w:rPr>
            </w:pPr>
          </w:p>
        </w:tc>
        <w:tc>
          <w:tcPr>
            <w:tcW w:w="820" w:type="dxa"/>
            <w:vAlign w:val="bottom"/>
            <w:tcBorders>
              <w:bottom w:val="single" w:sz="8" w:color="B6B6B6"/>
            </w:tcBorders>
          </w:tcPr>
          <w:p>
            <w:pPr>
              <w:jc w:val="right"/>
              <w:ind w:right="328"/>
              <w:spacing w:after="0"/>
              <w:rPr>
                <w:sz w:val="20"/>
                <w:szCs w:val="20"/>
                <w:color w:val="auto"/>
              </w:rPr>
            </w:pPr>
            <w:r>
              <w:rPr>
                <w:rFonts w:ascii="Arial" w:cs="Arial" w:eastAsia="Arial" w:hAnsi="Arial"/>
                <w:sz w:val="14"/>
                <w:szCs w:val="14"/>
                <w:b w:val="1"/>
                <w:bCs w:val="1"/>
                <w:color w:val="503C64"/>
              </w:rPr>
              <w:t>2022</w:t>
            </w:r>
          </w:p>
        </w:tc>
      </w:tr>
      <w:tr>
        <w:trPr>
          <w:trHeight w:val="194"/>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148,428</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127,014</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266,062</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255,149</w:t>
            </w:r>
          </w:p>
        </w:tc>
      </w:tr>
      <w:tr>
        <w:trPr>
          <w:trHeight w:val="208"/>
        </w:trPr>
        <w:tc>
          <w:tcPr>
            <w:tcW w:w="57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(18,269)</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(18,525)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(38,603)</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(37,235)</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(11,491)</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(23,383)</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(23,950)</w:t>
            </w:r>
          </w:p>
        </w:tc>
      </w:tr>
      <w:tr>
        <w:trPr>
          <w:trHeight w:val="199"/>
        </w:trPr>
        <w:tc>
          <w:tcPr>
            <w:tcW w:w="5700" w:type="dxa"/>
            <w:vAlign w:val="bottom"/>
            <w:tcBorders>
              <w:bottom w:val="single" w:sz="8" w:color="B6B6B6"/>
            </w:tcBorders>
          </w:tcPr>
          <w:p>
            <w:pPr>
              <w:ind w:left="20"/>
              <w:spacing w:after="0" w:line="199"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(5,105)</w:t>
            </w:r>
          </w:p>
        </w:tc>
        <w:tc>
          <w:tcPr>
            <w:tcW w:w="3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(5,105)</w:t>
            </w:r>
          </w:p>
        </w:tc>
        <w:tc>
          <w:tcPr>
            <w:tcW w:w="3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total compensation and benefits</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113,563</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96,763</w:t>
            </w:r>
          </w:p>
        </w:tc>
        <w:tc>
          <w:tcPr>
            <w:tcW w:w="320" w:type="dxa"/>
            <w:vAlign w:val="bottom"/>
            <w:gridSpan w:val="2"/>
            <w:shd w:val="clear" w:color="auto" w:fill="E3E1E9"/>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198,971</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193,964</w:t>
            </w:r>
          </w:p>
        </w:tc>
      </w:tr>
      <w:tr>
        <w:trPr>
          <w:trHeight w:val="247"/>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38,869</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33,103</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75,351</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67,203</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(3,290)</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(3,290)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(840)</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(589)</w:t>
            </w:r>
          </w:p>
        </w:tc>
      </w:tr>
      <w:tr>
        <w:trPr>
          <w:trHeight w:val="199"/>
        </w:trPr>
        <w:tc>
          <w:tcPr>
            <w:tcW w:w="5700" w:type="dxa"/>
            <w:vAlign w:val="bottom"/>
            <w:tcBorders>
              <w:bottom w:val="single" w:sz="8" w:color="B6B6B6"/>
            </w:tcBorders>
          </w:tcPr>
          <w:p>
            <w:pPr>
              <w:ind w:left="20"/>
              <w:spacing w:after="0" w:line="199" w:lineRule="exact"/>
              <w:rPr>
                <w:sz w:val="20"/>
                <w:szCs w:val="20"/>
                <w:color w:val="auto"/>
              </w:rPr>
            </w:pPr>
            <w:r>
              <w:rPr>
                <w:rFonts w:ascii="Arial" w:cs="Arial" w:eastAsia="Arial" w:hAnsi="Arial"/>
                <w:sz w:val="14"/>
                <w:szCs w:val="14"/>
                <w:color w:val="auto"/>
              </w:rPr>
              <w:t>Warrant Exchange transaction expenses</w:t>
            </w:r>
            <w:r>
              <w:rPr>
                <w:rFonts w:ascii="Arial" w:cs="Arial" w:eastAsia="Arial" w:hAnsi="Arial"/>
                <w:sz w:val="18"/>
                <w:szCs w:val="18"/>
                <w:color w:val="auto"/>
                <w:vertAlign w:val="superscript"/>
              </w:rPr>
              <w:t>(6)</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(125)</w:t>
            </w:r>
          </w:p>
        </w:tc>
      </w:tr>
      <w:tr>
        <w:trPr>
          <w:trHeight w:val="196"/>
        </w:trPr>
        <w:tc>
          <w:tcPr>
            <w:tcW w:w="5700" w:type="dxa"/>
            <w:vAlign w:val="bottom"/>
            <w:shd w:val="clear" w:color="auto" w:fill="E3E1E9"/>
          </w:tcPr>
          <w:p>
            <w:pPr>
              <w:ind w:left="20"/>
              <w:spacing w:after="0" w:line="196" w:lineRule="exact"/>
              <w:rPr>
                <w:sz w:val="20"/>
                <w:szCs w:val="20"/>
                <w:color w:val="auto"/>
              </w:rPr>
            </w:pPr>
            <w:r>
              <w:rPr>
                <w:rFonts w:ascii="Arial" w:cs="Arial" w:eastAsia="Arial" w:hAnsi="Arial"/>
                <w:sz w:val="14"/>
                <w:szCs w:val="14"/>
                <w:color w:val="auto"/>
              </w:rPr>
              <w:t>Adjusted non-compensation expense</w:t>
            </w:r>
            <w:r>
              <w:rPr>
                <w:rFonts w:ascii="Arial" w:cs="Arial" w:eastAsia="Arial" w:hAnsi="Arial"/>
                <w:sz w:val="18"/>
                <w:szCs w:val="18"/>
                <w:color w:val="auto"/>
                <w:vertAlign w:val="superscript"/>
              </w:rPr>
              <w:t>(7)</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36,384</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31,031</w:t>
            </w:r>
          </w:p>
        </w:tc>
        <w:tc>
          <w:tcPr>
            <w:tcW w:w="320" w:type="dxa"/>
            <w:vAlign w:val="bottom"/>
            <w:gridSpan w:val="2"/>
            <w:shd w:val="clear" w:color="auto" w:fill="E3E1E9"/>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70,896</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63,199</w:t>
            </w:r>
          </w:p>
        </w:tc>
      </w:tr>
      <w:tr>
        <w:trPr>
          <w:trHeight w:val="254"/>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(21,752)</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(9,013)</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(44,442)</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(19,372)</w:t>
            </w:r>
          </w:p>
        </w:tc>
      </w:tr>
      <w:tr>
        <w:trPr>
          <w:trHeight w:val="199"/>
        </w:trPr>
        <w:tc>
          <w:tcPr>
            <w:tcW w:w="5700" w:type="dxa"/>
            <w:vAlign w:val="bottom"/>
          </w:tcPr>
          <w:p>
            <w:pPr>
              <w:ind w:left="20"/>
              <w:spacing w:after="0" w:line="200" w:lineRule="exact"/>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18,269</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18,525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38,603</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37,235</w:t>
            </w:r>
          </w:p>
        </w:tc>
      </w:tr>
      <w:tr>
        <w:trPr>
          <w:trHeight w:val="196"/>
        </w:trPr>
        <w:tc>
          <w:tcPr>
            <w:tcW w:w="5700" w:type="dxa"/>
            <w:vAlign w:val="bottom"/>
          </w:tcPr>
          <w:p>
            <w:pPr>
              <w:ind w:left="20"/>
              <w:spacing w:after="0"/>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9"/>
                <w:szCs w:val="9"/>
                <w:color w:val="auto"/>
              </w:rPr>
              <w:t>(2)</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11,491</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23,383</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23,950</w:t>
            </w:r>
          </w:p>
        </w:tc>
      </w:tr>
      <w:tr>
        <w:trPr>
          <w:trHeight w:val="202"/>
        </w:trPr>
        <w:tc>
          <w:tcPr>
            <w:tcW w:w="5700" w:type="dxa"/>
            <w:vAlign w:val="bottom"/>
          </w:tcPr>
          <w:p>
            <w:pPr>
              <w:ind w:left="20"/>
              <w:spacing w:after="0"/>
              <w:rPr>
                <w:sz w:val="20"/>
                <w:szCs w:val="20"/>
                <w:color w:val="auto"/>
              </w:rPr>
            </w:pPr>
            <w:r>
              <w:rPr>
                <w:rFonts w:ascii="Arial" w:cs="Arial" w:eastAsia="Arial" w:hAnsi="Arial"/>
                <w:sz w:val="14"/>
                <w:szCs w:val="14"/>
                <w:color w:val="auto"/>
              </w:rPr>
              <w:t>Business realignment costs</w:t>
            </w:r>
            <w:r>
              <w:rPr>
                <w:rFonts w:ascii="Arial" w:cs="Arial" w:eastAsia="Arial" w:hAnsi="Arial"/>
                <w:sz w:val="9"/>
                <w:szCs w:val="9"/>
                <w:color w:val="auto"/>
              </w:rPr>
              <w:t>(3)</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5,105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5,105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700" w:type="dxa"/>
            <w:vAlign w:val="bottom"/>
          </w:tcPr>
          <w:p>
            <w:pPr>
              <w:ind w:left="20"/>
              <w:spacing w:after="0"/>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9"/>
                <w:szCs w:val="9"/>
                <w:color w:val="auto"/>
              </w:rPr>
              <w:t>(4)</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3,290</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3,290</w:t>
            </w:r>
          </w:p>
        </w:tc>
      </w:tr>
      <w:tr>
        <w:trPr>
          <w:trHeight w:val="205"/>
        </w:trPr>
        <w:tc>
          <w:tcPr>
            <w:tcW w:w="5700" w:type="dxa"/>
            <w:vAlign w:val="bottom"/>
          </w:tcPr>
          <w:p>
            <w:pPr>
              <w:ind w:left="20"/>
              <w:spacing w:after="0" w:line="205"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840</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589</w:t>
            </w:r>
          </w:p>
        </w:tc>
      </w:tr>
      <w:tr>
        <w:trPr>
          <w:trHeight w:val="199"/>
        </w:trPr>
        <w:tc>
          <w:tcPr>
            <w:tcW w:w="5700" w:type="dxa"/>
            <w:vAlign w:val="bottom"/>
            <w:tcBorders>
              <w:bottom w:val="single" w:sz="8" w:color="B6B6B6"/>
            </w:tcBorders>
          </w:tcPr>
          <w:p>
            <w:pPr>
              <w:ind w:left="20"/>
              <w:spacing w:after="0" w:line="199" w:lineRule="exact"/>
              <w:rPr>
                <w:sz w:val="20"/>
                <w:szCs w:val="20"/>
                <w:color w:val="auto"/>
              </w:rPr>
            </w:pPr>
            <w:r>
              <w:rPr>
                <w:rFonts w:ascii="Arial" w:cs="Arial" w:eastAsia="Arial" w:hAnsi="Arial"/>
                <w:sz w:val="14"/>
                <w:szCs w:val="14"/>
                <w:color w:val="auto"/>
              </w:rPr>
              <w:t>Warrant Exchange transaction expenses</w:t>
            </w:r>
            <w:r>
              <w:rPr>
                <w:rFonts w:ascii="Arial" w:cs="Arial" w:eastAsia="Arial" w:hAnsi="Arial"/>
                <w:sz w:val="18"/>
                <w:szCs w:val="18"/>
                <w:color w:val="auto"/>
                <w:vertAlign w:val="superscript"/>
              </w:rPr>
              <w:t>(6)</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125</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operating income (loss)</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15,598</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23,310</w:t>
            </w:r>
          </w:p>
        </w:tc>
        <w:tc>
          <w:tcPr>
            <w:tcW w:w="320" w:type="dxa"/>
            <w:vAlign w:val="bottom"/>
            <w:gridSpan w:val="2"/>
            <w:shd w:val="clear" w:color="auto" w:fill="E3E1E9"/>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27,104</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45,817</w:t>
            </w:r>
          </w:p>
        </w:tc>
      </w:tr>
      <w:tr>
        <w:trPr>
          <w:trHeight w:val="251"/>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(22,813)</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5,807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(44,947)</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9,855</w:t>
            </w:r>
          </w:p>
        </w:tc>
      </w:tr>
      <w:tr>
        <w:trPr>
          <w:trHeight w:val="196"/>
        </w:trPr>
        <w:tc>
          <w:tcPr>
            <w:tcW w:w="57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9"/>
                <w:szCs w:val="9"/>
                <w:color w:val="auto"/>
              </w:rPr>
              <w:t>(1)</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18,269</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18,525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38,603</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37,235</w:t>
            </w:r>
          </w:p>
        </w:tc>
      </w:tr>
      <w:tr>
        <w:trPr>
          <w:trHeight w:val="202"/>
        </w:trPr>
        <w:tc>
          <w:tcPr>
            <w:tcW w:w="5700" w:type="dxa"/>
            <w:vAlign w:val="bottom"/>
          </w:tcPr>
          <w:p>
            <w:pPr>
              <w:ind w:left="20"/>
              <w:spacing w:after="0"/>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9"/>
                <w:szCs w:val="9"/>
                <w:color w:val="auto"/>
              </w:rPr>
              <w:t>(2)</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11,491</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23,383</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23,950</w:t>
            </w:r>
          </w:p>
        </w:tc>
      </w:tr>
      <w:tr>
        <w:trPr>
          <w:trHeight w:val="205"/>
        </w:trPr>
        <w:tc>
          <w:tcPr>
            <w:tcW w:w="5700" w:type="dxa"/>
            <w:vAlign w:val="bottom"/>
          </w:tcPr>
          <w:p>
            <w:pPr>
              <w:ind w:left="20"/>
              <w:spacing w:after="0" w:line="205"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5,105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5,105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3,290</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3,290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840</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589</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Warrant Exchange transaction expenses</w:t>
            </w:r>
            <w:r>
              <w:rPr>
                <w:rFonts w:ascii="Arial" w:cs="Arial" w:eastAsia="Arial" w:hAnsi="Arial"/>
                <w:sz w:val="18"/>
                <w:szCs w:val="18"/>
                <w:color w:val="auto"/>
                <w:vertAlign w:val="superscript"/>
              </w:rPr>
              <w:t>(6)</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85"/>
        </w:trPr>
        <w:tc>
          <w:tcPr>
            <w:tcW w:w="5700" w:type="dxa"/>
            <w:vAlign w:val="bottom"/>
            <w:tcBorders>
              <w:bottom w:val="single" w:sz="8" w:color="B6B6B6"/>
            </w:tcBorders>
          </w:tcPr>
          <w:p>
            <w:pPr>
              <w:ind w:left="20"/>
              <w:spacing w:after="0" w:line="185"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(8)</w:t>
            </w:r>
          </w:p>
        </w:tc>
        <w:tc>
          <w:tcPr>
            <w:tcW w:w="22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1,401</w:t>
            </w:r>
          </w:p>
        </w:tc>
        <w:tc>
          <w:tcPr>
            <w:tcW w:w="380" w:type="dxa"/>
            <w:vAlign w:val="bottom"/>
            <w:tcBorders>
              <w:bottom w:val="single" w:sz="8" w:color="B6B6B6"/>
            </w:tcBorders>
          </w:tcPr>
          <w:p>
            <w:pPr>
              <w:spacing w:after="0"/>
              <w:rPr>
                <w:sz w:val="16"/>
                <w:szCs w:val="16"/>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(10,057)</w:t>
            </w:r>
          </w:p>
        </w:tc>
        <w:tc>
          <w:tcPr>
            <w:tcW w:w="100" w:type="dxa"/>
            <w:vAlign w:val="bottom"/>
            <w:tcBorders>
              <w:bottom w:val="single" w:sz="8" w:color="B6B6B6"/>
            </w:tcBorders>
          </w:tcPr>
          <w:p>
            <w:pPr>
              <w:spacing w:after="0"/>
              <w:rPr>
                <w:sz w:val="16"/>
                <w:szCs w:val="16"/>
                <w:color w:val="auto"/>
              </w:rPr>
            </w:pPr>
          </w:p>
        </w:tc>
        <w:tc>
          <w:tcPr>
            <w:tcW w:w="22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1,438</w:t>
            </w:r>
          </w:p>
        </w:tc>
        <w:tc>
          <w:tcPr>
            <w:tcW w:w="380" w:type="dxa"/>
            <w:vAlign w:val="bottom"/>
            <w:tcBorders>
              <w:bottom w:val="single" w:sz="8" w:color="B6B6B6"/>
            </w:tcBorders>
          </w:tcPr>
          <w:p>
            <w:pPr>
              <w:spacing w:after="0"/>
              <w:rPr>
                <w:sz w:val="16"/>
                <w:szCs w:val="16"/>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(22,026)</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(loss) before income taxes</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15,938</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28,073</w:t>
            </w:r>
          </w:p>
        </w:tc>
        <w:tc>
          <w:tcPr>
            <w:tcW w:w="320" w:type="dxa"/>
            <w:vAlign w:val="bottom"/>
            <w:gridSpan w:val="2"/>
            <w:shd w:val="clear" w:color="auto" w:fill="E3E1E9"/>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28,037</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53,018</w:t>
            </w:r>
          </w:p>
        </w:tc>
      </w:tr>
      <w:tr>
        <w:trPr>
          <w:trHeight w:val="25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Income tax expense (benefit)—GAAP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(4,543)</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3,141</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743</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6,137</w:t>
            </w:r>
          </w:p>
        </w:tc>
      </w:tr>
      <w:tr>
        <w:trPr>
          <w:trHeight w:val="204"/>
        </w:trPr>
        <w:tc>
          <w:tcPr>
            <w:tcW w:w="5700" w:type="dxa"/>
            <w:vAlign w:val="bottom"/>
            <w:tcBorders>
              <w:bottom w:val="single" w:sz="8" w:color="B6B6B6"/>
            </w:tcBorders>
          </w:tcPr>
          <w:p>
            <w:pPr>
              <w:ind w:left="20"/>
              <w:spacing w:after="0" w:line="205"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(9)</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4,962</w:t>
            </w:r>
          </w:p>
        </w:tc>
        <w:tc>
          <w:tcPr>
            <w:tcW w:w="3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1,811</w:t>
            </w:r>
          </w:p>
        </w:tc>
        <w:tc>
          <w:tcPr>
            <w:tcW w:w="10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1,884</w:t>
            </w:r>
          </w:p>
        </w:tc>
        <w:tc>
          <w:tcPr>
            <w:tcW w:w="3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3,253</w:t>
            </w:r>
          </w:p>
        </w:tc>
      </w:tr>
      <w:tr>
        <w:trPr>
          <w:trHeight w:val="183"/>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tax expense (benefit)</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419</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4,952</w:t>
            </w:r>
          </w:p>
        </w:tc>
        <w:tc>
          <w:tcPr>
            <w:tcW w:w="320" w:type="dxa"/>
            <w:vAlign w:val="bottom"/>
            <w:gridSpan w:val="2"/>
            <w:shd w:val="clear" w:color="auto" w:fill="E3E1E9"/>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2,627</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9,390</w:t>
            </w:r>
          </w:p>
        </w:tc>
      </w:tr>
      <w:tr>
        <w:trPr>
          <w:trHeight w:val="25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Net income (loss)—GAAP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(18,270)</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2,666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(45,690)</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3,718</w:t>
            </w:r>
          </w:p>
        </w:tc>
      </w:tr>
      <w:tr>
        <w:trPr>
          <w:trHeight w:val="208"/>
        </w:trPr>
        <w:tc>
          <w:tcPr>
            <w:tcW w:w="5700" w:type="dxa"/>
            <w:vAlign w:val="bottom"/>
          </w:tcPr>
          <w:p>
            <w:pPr>
              <w:ind w:left="2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2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18,269</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18,525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38,603</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37,235</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11,491</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23,383</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23,950</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5,105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5,105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TPH business combination related expenses</w:t>
            </w:r>
            <w:r>
              <w:rPr>
                <w:rFonts w:ascii="Arial" w:cs="Arial" w:eastAsia="Arial" w:hAnsi="Arial"/>
                <w:sz w:val="18"/>
                <w:szCs w:val="18"/>
                <w:color w:val="auto"/>
                <w:vertAlign w:val="superscript"/>
              </w:rPr>
              <w:t>(4)</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1,645</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3,290</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3,290</w:t>
            </w:r>
          </w:p>
        </w:tc>
      </w:tr>
      <w:tr>
        <w:trPr>
          <w:trHeight w:val="193"/>
        </w:trPr>
        <w:tc>
          <w:tcPr>
            <w:tcW w:w="5700" w:type="dxa"/>
            <w:vAlign w:val="bottom"/>
          </w:tcPr>
          <w:p>
            <w:pPr>
              <w:ind w:left="20"/>
              <w:spacing w:after="0" w:line="194"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(5)</w:t>
            </w:r>
          </w:p>
        </w:tc>
        <w:tc>
          <w:tcPr>
            <w:tcW w:w="2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840</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1,165</w:t>
            </w: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589</w:t>
            </w:r>
          </w:p>
        </w:tc>
      </w:tr>
      <w:tr>
        <w:trPr>
          <w:trHeight w:val="196"/>
        </w:trPr>
        <w:tc>
          <w:tcPr>
            <w:tcW w:w="5700" w:type="dxa"/>
            <w:vAlign w:val="bottom"/>
          </w:tcPr>
          <w:p>
            <w:pPr>
              <w:ind w:left="20"/>
              <w:spacing w:after="0"/>
              <w:rPr>
                <w:sz w:val="20"/>
                <w:szCs w:val="20"/>
                <w:color w:val="auto"/>
              </w:rPr>
            </w:pPr>
            <w:r>
              <w:rPr>
                <w:rFonts w:ascii="Arial" w:cs="Arial" w:eastAsia="Arial" w:hAnsi="Arial"/>
                <w:sz w:val="14"/>
                <w:szCs w:val="14"/>
                <w:color w:val="auto"/>
              </w:rPr>
              <w:t>Warrant Exchange transaction expenses</w:t>
            </w:r>
            <w:r>
              <w:rPr>
                <w:rFonts w:ascii="Arial" w:cs="Arial" w:eastAsia="Arial" w:hAnsi="Arial"/>
                <w:sz w:val="9"/>
                <w:szCs w:val="9"/>
                <w:color w:val="auto"/>
              </w:rPr>
              <w:t>(6)</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03"/>
        </w:trPr>
        <w:tc>
          <w:tcPr>
            <w:tcW w:w="5700" w:type="dxa"/>
            <w:vAlign w:val="bottom"/>
          </w:tcPr>
          <w:p>
            <w:pPr>
              <w:ind w:left="20"/>
              <w:spacing w:after="0"/>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9"/>
                <w:szCs w:val="9"/>
                <w:color w:val="auto"/>
              </w:rPr>
              <w:t>(8)</w:t>
            </w: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1,401</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1,438</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(22,026)</w:t>
            </w:r>
          </w:p>
        </w:tc>
      </w:tr>
      <w:tr>
        <w:trPr>
          <w:trHeight w:val="201"/>
        </w:trPr>
        <w:tc>
          <w:tcPr>
            <w:tcW w:w="570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Tax impact of non-GAAP adjustments</w:t>
            </w:r>
            <w:r>
              <w:rPr>
                <w:rFonts w:ascii="Arial" w:cs="Arial" w:eastAsia="Arial" w:hAnsi="Arial"/>
                <w:sz w:val="9"/>
                <w:szCs w:val="9"/>
                <w:color w:val="auto"/>
              </w:rPr>
              <w:t>(9)</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(4,962)</w:t>
            </w:r>
          </w:p>
        </w:tc>
        <w:tc>
          <w:tcPr>
            <w:tcW w:w="3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(1,811)</w:t>
            </w:r>
          </w:p>
        </w:tc>
        <w:tc>
          <w:tcPr>
            <w:tcW w:w="10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(1,884)</w:t>
            </w:r>
          </w:p>
        </w:tc>
        <w:tc>
          <w:tcPr>
            <w:tcW w:w="3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(3,253)</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15,519</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23,121</w:t>
            </w:r>
          </w:p>
        </w:tc>
        <w:tc>
          <w:tcPr>
            <w:tcW w:w="320" w:type="dxa"/>
            <w:vAlign w:val="bottom"/>
            <w:gridSpan w:val="2"/>
            <w:shd w:val="clear" w:color="auto" w:fill="E3E1E9"/>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25,410</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43,628</w:t>
            </w:r>
          </w:p>
        </w:tc>
      </w:tr>
      <w:tr>
        <w:trPr>
          <w:trHeight w:val="245"/>
        </w:trPr>
        <w:tc>
          <w:tcPr>
            <w:tcW w:w="5700" w:type="dxa"/>
            <w:vAlign w:val="bottom"/>
          </w:tcPr>
          <w:p>
            <w:pPr>
              <w:ind w:left="20"/>
              <w:spacing w:after="0"/>
              <w:rPr>
                <w:sz w:val="20"/>
                <w:szCs w:val="20"/>
                <w:color w:val="auto"/>
              </w:rPr>
            </w:pPr>
            <w:r>
              <w:rPr>
                <w:rFonts w:ascii="Arial" w:cs="Arial" w:eastAsia="Arial" w:hAnsi="Arial"/>
                <w:sz w:val="14"/>
                <w:szCs w:val="14"/>
                <w:color w:val="auto"/>
              </w:rPr>
              <w:t>Less: Adjusted income tax expense (benefit)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(419)</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(4,952)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(2,627)</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(9,390)</w:t>
            </w:r>
          </w:p>
        </w:tc>
      </w:tr>
      <w:tr>
        <w:trPr>
          <w:trHeight w:val="201"/>
        </w:trPr>
        <w:tc>
          <w:tcPr>
            <w:tcW w:w="570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Add: If-converted tax impact</w:t>
            </w:r>
            <w:r>
              <w:rPr>
                <w:rFonts w:ascii="Arial" w:cs="Arial" w:eastAsia="Arial" w:hAnsi="Arial"/>
                <w:sz w:val="18"/>
                <w:szCs w:val="18"/>
                <w:color w:val="auto"/>
                <w:vertAlign w:val="superscript"/>
              </w:rPr>
              <w:t>(10)</w:t>
            </w: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2,483</w:t>
            </w:r>
          </w:p>
        </w:tc>
        <w:tc>
          <w:tcPr>
            <w:tcW w:w="3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8,004</w:t>
            </w:r>
          </w:p>
        </w:tc>
        <w:tc>
          <w:tcPr>
            <w:tcW w:w="100" w:type="dxa"/>
            <w:vAlign w:val="bottom"/>
            <w:tcBorders>
              <w:bottom w:val="single" w:sz="8" w:color="B6B6B6"/>
            </w:tcBorders>
          </w:tcPr>
          <w:p>
            <w:pPr>
              <w:spacing w:after="0"/>
              <w:rPr>
                <w:sz w:val="17"/>
                <w:szCs w:val="17"/>
                <w:color w:val="auto"/>
              </w:rPr>
            </w:pPr>
          </w:p>
        </w:tc>
        <w:tc>
          <w:tcPr>
            <w:tcW w:w="220" w:type="dxa"/>
            <w:vAlign w:val="bottom"/>
            <w:tcBorders>
              <w:bottom w:val="single" w:sz="8" w:color="B6B6B6"/>
            </w:tcBorders>
          </w:tcPr>
          <w:p>
            <w:pPr>
              <w:spacing w:after="0"/>
              <w:rPr>
                <w:sz w:val="17"/>
                <w:szCs w:val="17"/>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6,268</w:t>
            </w:r>
          </w:p>
        </w:tc>
        <w:tc>
          <w:tcPr>
            <w:tcW w:w="3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15,561</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if-converted net income (loss)</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13,455</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20,069</w:t>
            </w:r>
          </w:p>
        </w:tc>
        <w:tc>
          <w:tcPr>
            <w:tcW w:w="320" w:type="dxa"/>
            <w:vAlign w:val="bottom"/>
            <w:gridSpan w:val="2"/>
            <w:shd w:val="clear" w:color="auto" w:fill="E3E1E9"/>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21,769</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37,457</w:t>
            </w:r>
          </w:p>
        </w:tc>
      </w:tr>
      <w:tr>
        <w:trPr>
          <w:trHeight w:val="245"/>
        </w:trPr>
        <w:tc>
          <w:tcPr>
            <w:tcW w:w="5700" w:type="dxa"/>
            <w:vAlign w:val="bottom"/>
          </w:tcPr>
          <w:p>
            <w:pPr>
              <w:ind w:left="20"/>
              <w:spacing w:after="0"/>
              <w:rPr>
                <w:sz w:val="20"/>
                <w:szCs w:val="20"/>
                <w:color w:val="auto"/>
              </w:rPr>
            </w:pPr>
            <w:r>
              <w:rPr>
                <w:rFonts w:ascii="Arial" w:cs="Arial" w:eastAsia="Arial" w:hAnsi="Arial"/>
                <w:sz w:val="14"/>
                <w:szCs w:val="14"/>
                <w:color w:val="auto"/>
              </w:rPr>
              <w:t>Weighted-average diluted shares of Class A common stock outstanding</w:t>
            </w:r>
          </w:p>
        </w:tc>
        <w:tc>
          <w:tcPr>
            <w:tcW w:w="22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86,521,626</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90,688,871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86,566,075</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91,953,077</w:t>
            </w:r>
          </w:p>
        </w:tc>
      </w:tr>
      <w:tr>
        <w:trPr>
          <w:trHeight w:val="160"/>
        </w:trPr>
        <w:tc>
          <w:tcPr>
            <w:tcW w:w="5700" w:type="dxa"/>
            <w:vAlign w:val="bottom"/>
          </w:tcPr>
          <w:p>
            <w:pPr>
              <w:ind w:left="20"/>
              <w:spacing w:after="0"/>
              <w:rPr>
                <w:sz w:val="20"/>
                <w:szCs w:val="20"/>
                <w:color w:val="auto"/>
              </w:rPr>
            </w:pPr>
            <w:r>
              <w:rPr>
                <w:rFonts w:ascii="Arial" w:cs="Arial" w:eastAsia="Arial" w:hAnsi="Arial"/>
                <w:sz w:val="14"/>
                <w:szCs w:val="14"/>
                <w:color w:val="auto"/>
              </w:rPr>
              <w:t>Weighted average number of incremental shares from assumed vesting of RSUs and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9"/>
        </w:trPr>
        <w:tc>
          <w:tcPr>
            <w:tcW w:w="5700" w:type="dxa"/>
            <w:vAlign w:val="bottom"/>
            <w:tcBorders>
              <w:bottom w:val="single" w:sz="8" w:color="B6B6B6"/>
            </w:tcBorders>
          </w:tcPr>
          <w:p>
            <w:pPr>
              <w:ind w:left="20"/>
              <w:spacing w:after="0" w:line="189"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(11)</w:t>
            </w:r>
          </w:p>
        </w:tc>
        <w:tc>
          <w:tcPr>
            <w:tcW w:w="22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275,508</w:t>
            </w:r>
          </w:p>
        </w:tc>
        <w:tc>
          <w:tcPr>
            <w:tcW w:w="380" w:type="dxa"/>
            <w:vAlign w:val="bottom"/>
            <w:tcBorders>
              <w:bottom w:val="single" w:sz="8" w:color="B6B6B6"/>
            </w:tcBorders>
          </w:tcPr>
          <w:p>
            <w:pPr>
              <w:spacing w:after="0"/>
              <w:rPr>
                <w:sz w:val="16"/>
                <w:szCs w:val="16"/>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41,654</w:t>
            </w:r>
          </w:p>
        </w:tc>
        <w:tc>
          <w:tcPr>
            <w:tcW w:w="100" w:type="dxa"/>
            <w:vAlign w:val="bottom"/>
            <w:tcBorders>
              <w:bottom w:val="single" w:sz="8" w:color="B6B6B6"/>
            </w:tcBorders>
          </w:tcPr>
          <w:p>
            <w:pPr>
              <w:spacing w:after="0"/>
              <w:rPr>
                <w:sz w:val="16"/>
                <w:szCs w:val="16"/>
                <w:color w:val="auto"/>
              </w:rPr>
            </w:pPr>
          </w:p>
        </w:tc>
        <w:tc>
          <w:tcPr>
            <w:tcW w:w="22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28"/>
              <w:spacing w:after="0"/>
              <w:rPr>
                <w:sz w:val="20"/>
                <w:szCs w:val="20"/>
                <w:color w:val="auto"/>
              </w:rPr>
            </w:pPr>
            <w:r>
              <w:rPr>
                <w:rFonts w:ascii="Arial" w:cs="Arial" w:eastAsia="Arial" w:hAnsi="Arial"/>
                <w:sz w:val="14"/>
                <w:szCs w:val="14"/>
                <w:color w:val="auto"/>
              </w:rPr>
              <w:t>1,001,289</w:t>
            </w:r>
          </w:p>
        </w:tc>
        <w:tc>
          <w:tcPr>
            <w:tcW w:w="380" w:type="dxa"/>
            <w:vAlign w:val="bottom"/>
            <w:tcBorders>
              <w:bottom w:val="single" w:sz="8" w:color="B6B6B6"/>
            </w:tcBorders>
          </w:tcPr>
          <w:p>
            <w:pPr>
              <w:spacing w:after="0"/>
              <w:rPr>
                <w:sz w:val="16"/>
                <w:szCs w:val="16"/>
                <w:color w:val="auto"/>
              </w:rPr>
            </w:pPr>
          </w:p>
        </w:tc>
        <w:tc>
          <w:tcPr>
            <w:tcW w:w="8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168,435</w:t>
            </w:r>
          </w:p>
        </w:tc>
      </w:tr>
      <w:tr>
        <w:trPr>
          <w:trHeight w:val="196"/>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220" w:type="dxa"/>
            <w:vAlign w:val="bottom"/>
            <w:shd w:val="clear" w:color="auto" w:fill="E3E1E9"/>
          </w:tcPr>
          <w:p>
            <w:pPr>
              <w:spacing w:after="0"/>
              <w:rPr>
                <w:sz w:val="17"/>
                <w:szCs w:val="17"/>
                <w:color w:val="auto"/>
              </w:rPr>
            </w:pP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86,797,134</w:t>
            </w:r>
          </w:p>
        </w:tc>
        <w:tc>
          <w:tcPr>
            <w:tcW w:w="380" w:type="dxa"/>
            <w:vAlign w:val="bottom"/>
            <w:shd w:val="clear" w:color="auto" w:fill="E3E1E9"/>
          </w:tcPr>
          <w:p>
            <w:pPr>
              <w:spacing w:after="0"/>
              <w:rPr>
                <w:sz w:val="17"/>
                <w:szCs w:val="17"/>
                <w:color w:val="auto"/>
              </w:rPr>
            </w:pP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90,730,525</w:t>
            </w:r>
          </w:p>
        </w:tc>
        <w:tc>
          <w:tcPr>
            <w:tcW w:w="100" w:type="dxa"/>
            <w:vAlign w:val="bottom"/>
            <w:shd w:val="clear" w:color="auto" w:fill="E3E1E9"/>
          </w:tcPr>
          <w:p>
            <w:pPr>
              <w:spacing w:after="0"/>
              <w:rPr>
                <w:sz w:val="17"/>
                <w:szCs w:val="17"/>
                <w:color w:val="auto"/>
              </w:rPr>
            </w:pPr>
          </w:p>
        </w:tc>
        <w:tc>
          <w:tcPr>
            <w:tcW w:w="220" w:type="dxa"/>
            <w:vAlign w:val="bottom"/>
            <w:shd w:val="clear" w:color="auto" w:fill="E3E1E9"/>
          </w:tcPr>
          <w:p>
            <w:pPr>
              <w:spacing w:after="0"/>
              <w:rPr>
                <w:sz w:val="17"/>
                <w:szCs w:val="17"/>
                <w:color w:val="auto"/>
              </w:rPr>
            </w:pP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87,567,364</w:t>
            </w:r>
          </w:p>
        </w:tc>
        <w:tc>
          <w:tcPr>
            <w:tcW w:w="380" w:type="dxa"/>
            <w:vAlign w:val="bottom"/>
            <w:shd w:val="clear" w:color="auto" w:fill="E3E1E9"/>
          </w:tcPr>
          <w:p>
            <w:pPr>
              <w:spacing w:after="0"/>
              <w:rPr>
                <w:sz w:val="17"/>
                <w:szCs w:val="17"/>
                <w:color w:val="auto"/>
              </w:rPr>
            </w:pP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92,121,512</w:t>
            </w:r>
          </w:p>
        </w:tc>
      </w:tr>
      <w:tr>
        <w:trPr>
          <w:trHeight w:val="54"/>
        </w:trPr>
        <w:tc>
          <w:tcPr>
            <w:tcW w:w="5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03"/>
        </w:trPr>
        <w:tc>
          <w:tcPr>
            <w:tcW w:w="570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(loss) per Class A share—diluted, if—converted</w:t>
            </w:r>
          </w:p>
        </w:tc>
        <w:tc>
          <w:tcPr>
            <w:tcW w:w="22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0.16</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0.22</w:t>
            </w:r>
          </w:p>
        </w:tc>
        <w:tc>
          <w:tcPr>
            <w:tcW w:w="320" w:type="dxa"/>
            <w:vAlign w:val="bottom"/>
            <w:gridSpan w:val="2"/>
            <w:shd w:val="clear" w:color="auto" w:fill="E3E1E9"/>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E3E1E9"/>
          </w:tcPr>
          <w:p>
            <w:pPr>
              <w:jc w:val="right"/>
              <w:ind w:right="28"/>
              <w:spacing w:after="0"/>
              <w:rPr>
                <w:sz w:val="20"/>
                <w:szCs w:val="20"/>
                <w:color w:val="auto"/>
              </w:rPr>
            </w:pPr>
            <w:r>
              <w:rPr>
                <w:rFonts w:ascii="Arial" w:cs="Arial" w:eastAsia="Arial" w:hAnsi="Arial"/>
                <w:sz w:val="14"/>
                <w:szCs w:val="14"/>
                <w:color w:val="auto"/>
              </w:rPr>
              <w:t>0.25</w:t>
            </w:r>
          </w:p>
        </w:tc>
        <w:tc>
          <w:tcPr>
            <w:tcW w:w="38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E3E1E9"/>
          </w:tcPr>
          <w:p>
            <w:pPr>
              <w:jc w:val="right"/>
              <w:spacing w:after="0"/>
              <w:rPr>
                <w:sz w:val="20"/>
                <w:szCs w:val="20"/>
                <w:color w:val="auto"/>
              </w:rPr>
            </w:pPr>
            <w:r>
              <w:rPr>
                <w:rFonts w:ascii="Arial" w:cs="Arial" w:eastAsia="Arial" w:hAnsi="Arial"/>
                <w:sz w:val="14"/>
                <w:szCs w:val="14"/>
                <w:color w:val="auto"/>
              </w:rPr>
              <w:t>0.41</w:t>
            </w:r>
          </w:p>
        </w:tc>
      </w:tr>
    </w:tbl>
    <w:p>
      <w:pPr>
        <w:spacing w:after="0" w:line="200" w:lineRule="exact"/>
        <w:rPr>
          <w:sz w:val="20"/>
          <w:szCs w:val="20"/>
          <w:color w:val="auto"/>
        </w:rPr>
      </w:pPr>
    </w:p>
    <w:p>
      <w:pPr>
        <w:spacing w:after="0" w:line="321" w:lineRule="exact"/>
        <w:rPr>
          <w:sz w:val="20"/>
          <w:szCs w:val="20"/>
          <w:color w:val="auto"/>
        </w:rPr>
      </w:pPr>
    </w:p>
    <w:p>
      <w:pPr>
        <w:jc w:val="both"/>
        <w:ind w:firstLine="8"/>
        <w:spacing w:after="0" w:line="257" w:lineRule="auto"/>
        <w:tabs>
          <w:tab w:leader="none" w:pos="94"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8" w:right="339" w:bottom="1440" w:gutter="0" w:footer="0" w:header="0"/>
        </w:sectPr>
      </w:pPr>
    </w:p>
    <w:bookmarkStart w:id="12" w:name="page13"/>
    <w:bookmarkEnd w:id="1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2700" w:type="dxa"/>
            <w:vAlign w:val="bottom"/>
            <w:gridSpan w:val="2"/>
          </w:tcPr>
          <w:p>
            <w:pPr>
              <w:jc w:val="right"/>
              <w:ind w:right="468"/>
              <w:spacing w:after="0"/>
              <w:rPr>
                <w:sz w:val="20"/>
                <w:szCs w:val="20"/>
                <w:color w:val="auto"/>
              </w:rPr>
            </w:pPr>
            <w:r>
              <w:rPr>
                <w:rFonts w:ascii="Arial" w:cs="Arial" w:eastAsia="Arial" w:hAnsi="Arial"/>
                <w:sz w:val="16"/>
                <w:szCs w:val="16"/>
                <w:b w:val="1"/>
                <w:bCs w:val="1"/>
                <w:color w:val="503C64"/>
              </w:rPr>
              <w:t>Three Months Ended</w:t>
            </w:r>
          </w:p>
        </w:tc>
        <w:tc>
          <w:tcPr>
            <w:tcW w:w="100" w:type="dxa"/>
            <w:vAlign w:val="bottom"/>
          </w:tcPr>
          <w:p>
            <w:pPr>
              <w:spacing w:after="0"/>
              <w:rPr>
                <w:sz w:val="16"/>
                <w:szCs w:val="16"/>
                <w:color w:val="auto"/>
              </w:rPr>
            </w:pPr>
          </w:p>
        </w:tc>
        <w:tc>
          <w:tcPr>
            <w:tcW w:w="2720" w:type="dxa"/>
            <w:vAlign w:val="bottom"/>
            <w:gridSpan w:val="2"/>
          </w:tcPr>
          <w:p>
            <w:pPr>
              <w:jc w:val="right"/>
              <w:ind w:right="588"/>
              <w:spacing w:after="0"/>
              <w:rPr>
                <w:sz w:val="20"/>
                <w:szCs w:val="20"/>
                <w:color w:val="auto"/>
              </w:rPr>
            </w:pPr>
            <w:r>
              <w:rPr>
                <w:rFonts w:ascii="Arial" w:cs="Arial" w:eastAsia="Arial" w:hAnsi="Arial"/>
                <w:sz w:val="16"/>
                <w:szCs w:val="16"/>
                <w:b w:val="1"/>
                <w:bCs w:val="1"/>
                <w:color w:val="503C64"/>
              </w:rPr>
              <w:t>Six Months Ended</w:t>
            </w:r>
          </w:p>
        </w:tc>
      </w:tr>
      <w:tr>
        <w:trPr>
          <w:trHeight w:val="227"/>
        </w:trPr>
        <w:tc>
          <w:tcPr>
            <w:tcW w:w="5060" w:type="dxa"/>
            <w:vAlign w:val="bottom"/>
          </w:tcPr>
          <w:p>
            <w:pPr>
              <w:spacing w:after="0"/>
              <w:rPr>
                <w:sz w:val="19"/>
                <w:szCs w:val="19"/>
                <w:color w:val="auto"/>
              </w:rPr>
            </w:pPr>
          </w:p>
        </w:tc>
        <w:tc>
          <w:tcPr>
            <w:tcW w:w="1780" w:type="dxa"/>
            <w:vAlign w:val="bottom"/>
          </w:tcPr>
          <w:p>
            <w:pPr>
              <w:jc w:val="right"/>
              <w:ind w:right="26"/>
              <w:spacing w:after="0"/>
              <w:rPr>
                <w:sz w:val="20"/>
                <w:szCs w:val="20"/>
                <w:color w:val="auto"/>
              </w:rPr>
            </w:pPr>
            <w:r>
              <w:rPr>
                <w:rFonts w:ascii="Arial" w:cs="Arial" w:eastAsia="Arial" w:hAnsi="Arial"/>
                <w:sz w:val="16"/>
                <w:szCs w:val="16"/>
                <w:b w:val="1"/>
                <w:bCs w:val="1"/>
                <w:color w:val="503C64"/>
              </w:rPr>
              <w:t>June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b w:val="1"/>
                <w:bCs w:val="1"/>
                <w:color w:val="503C64"/>
              </w:rPr>
              <w:t>June 30,</w:t>
            </w:r>
          </w:p>
        </w:tc>
        <w:tc>
          <w:tcPr>
            <w:tcW w:w="920" w:type="dxa"/>
            <w:vAlign w:val="bottom"/>
          </w:tcPr>
          <w:p>
            <w:pPr>
              <w:spacing w:after="0"/>
              <w:rPr>
                <w:sz w:val="19"/>
                <w:szCs w:val="19"/>
                <w:color w:val="auto"/>
              </w:rPr>
            </w:pPr>
          </w:p>
        </w:tc>
      </w:tr>
      <w:tr>
        <w:trPr>
          <w:trHeight w:val="21"/>
        </w:trPr>
        <w:tc>
          <w:tcPr>
            <w:tcW w:w="5060" w:type="dxa"/>
            <w:vAlign w:val="bottom"/>
          </w:tcPr>
          <w:p>
            <w:pPr>
              <w:spacing w:after="0" w:line="20" w:lineRule="exact"/>
              <w:rPr>
                <w:sz w:val="1"/>
                <w:szCs w:val="1"/>
                <w:color w:val="auto"/>
              </w:rPr>
            </w:pPr>
          </w:p>
        </w:tc>
        <w:tc>
          <w:tcPr>
            <w:tcW w:w="178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B6B6B6"/>
            </w:tcBorders>
          </w:tcPr>
          <w:p>
            <w:pPr>
              <w:spacing w:after="0" w:line="20" w:lineRule="exact"/>
              <w:rPr>
                <w:sz w:val="1"/>
                <w:szCs w:val="1"/>
                <w:color w:val="auto"/>
              </w:rPr>
            </w:pPr>
          </w:p>
        </w:tc>
        <w:tc>
          <w:tcPr>
            <w:tcW w:w="920" w:type="dxa"/>
            <w:vAlign w:val="bottom"/>
            <w:tcBorders>
              <w:bottom w:val="single" w:sz="8" w:color="B6B6B6"/>
            </w:tcBorders>
          </w:tcPr>
          <w:p>
            <w:pPr>
              <w:spacing w:after="0" w:line="20" w:lineRule="exact"/>
              <w:rPr>
                <w:sz w:val="1"/>
                <w:szCs w:val="1"/>
                <w:color w:val="auto"/>
              </w:rPr>
            </w:pPr>
          </w:p>
        </w:tc>
      </w:tr>
      <w:tr>
        <w:trPr>
          <w:trHeight w:val="183"/>
        </w:trPr>
        <w:tc>
          <w:tcPr>
            <w:tcW w:w="5060" w:type="dxa"/>
            <w:vAlign w:val="bottom"/>
            <w:tcBorders>
              <w:bottom w:val="single" w:sz="8" w:color="B6B6B6"/>
            </w:tcBorders>
          </w:tcPr>
          <w:p>
            <w:pPr>
              <w:spacing w:after="0"/>
              <w:rPr>
                <w:sz w:val="15"/>
                <w:szCs w:val="15"/>
                <w:color w:val="auto"/>
              </w:rPr>
            </w:pPr>
          </w:p>
        </w:tc>
        <w:tc>
          <w:tcPr>
            <w:tcW w:w="1780" w:type="dxa"/>
            <w:vAlign w:val="bottom"/>
            <w:tcBorders>
              <w:bottom w:val="single" w:sz="8" w:color="B6B6B6"/>
            </w:tcBorders>
          </w:tcPr>
          <w:p>
            <w:pPr>
              <w:jc w:val="right"/>
              <w:ind w:right="886"/>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900" w:type="dxa"/>
            <w:vAlign w:val="bottom"/>
            <w:tcBorders>
              <w:bottom w:val="single" w:sz="8" w:color="B6B6B6"/>
            </w:tcBorders>
            <w:gridSpan w:val="2"/>
          </w:tcPr>
          <w:p>
            <w:pPr>
              <w:jc w:val="right"/>
              <w:ind w:right="899"/>
              <w:spacing w:after="0"/>
              <w:rPr>
                <w:sz w:val="20"/>
                <w:szCs w:val="20"/>
                <w:color w:val="auto"/>
              </w:rPr>
            </w:pPr>
            <w:r>
              <w:rPr>
                <w:rFonts w:ascii="Arial" w:cs="Arial" w:eastAsia="Arial" w:hAnsi="Arial"/>
                <w:sz w:val="14"/>
                <w:szCs w:val="14"/>
                <w:b w:val="1"/>
                <w:bCs w:val="1"/>
                <w:color w:val="503C64"/>
              </w:rPr>
              <w:t>2023</w:t>
            </w:r>
          </w:p>
        </w:tc>
        <w:tc>
          <w:tcPr>
            <w:tcW w:w="92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b w:val="1"/>
                <w:bCs w:val="1"/>
                <w:color w:val="503C64"/>
              </w:rPr>
              <w:t>2022</w:t>
            </w:r>
          </w:p>
        </w:tc>
      </w:tr>
      <w:tr>
        <w:trPr>
          <w:trHeight w:val="194"/>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 xml:space="preserve">Key metrics: </w:t>
            </w:r>
            <w:r>
              <w:rPr>
                <w:rFonts w:ascii="Arial" w:cs="Arial" w:eastAsia="Arial" w:hAnsi="Arial"/>
                <w:sz w:val="9"/>
                <w:szCs w:val="9"/>
                <w:b w:val="1"/>
                <w:bCs w:val="1"/>
                <w:color w:val="auto"/>
              </w:rPr>
              <w:t>(a)</w:t>
            </w:r>
          </w:p>
        </w:tc>
        <w:tc>
          <w:tcPr>
            <w:tcW w:w="1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3"/>
        </w:trPr>
        <w:tc>
          <w:tcPr>
            <w:tcW w:w="5060" w:type="dxa"/>
            <w:vAlign w:val="bottom"/>
          </w:tcPr>
          <w:p>
            <w:pPr>
              <w:ind w:left="20"/>
              <w:spacing w:after="0"/>
              <w:rPr>
                <w:sz w:val="20"/>
                <w:szCs w:val="20"/>
                <w:color w:val="auto"/>
              </w:rPr>
            </w:pPr>
            <w:r>
              <w:rPr>
                <w:rFonts w:ascii="Arial" w:cs="Arial" w:eastAsia="Arial" w:hAnsi="Arial"/>
                <w:sz w:val="14"/>
                <w:szCs w:val="14"/>
                <w:color w:val="auto"/>
              </w:rPr>
              <w:t>GAAP operating income (loss) margin</w:t>
            </w:r>
          </w:p>
        </w:tc>
        <w:tc>
          <w:tcPr>
            <w:tcW w:w="1780" w:type="dxa"/>
            <w:vAlign w:val="bottom"/>
          </w:tcPr>
          <w:p>
            <w:pPr>
              <w:jc w:val="right"/>
              <w:ind w:right="406"/>
              <w:spacing w:after="0"/>
              <w:rPr>
                <w:sz w:val="20"/>
                <w:szCs w:val="20"/>
                <w:color w:val="auto"/>
              </w:rPr>
            </w:pPr>
            <w:r>
              <w:rPr>
                <w:rFonts w:ascii="Arial" w:cs="Arial" w:eastAsia="Arial" w:hAnsi="Arial"/>
                <w:sz w:val="14"/>
                <w:szCs w:val="14"/>
                <w:color w:val="auto"/>
              </w:rPr>
              <w:t>(13.1)%</w:t>
            </w: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c>
          <w:tcPr>
            <w:tcW w:w="1900" w:type="dxa"/>
            <w:vAlign w:val="bottom"/>
            <w:gridSpan w:val="2"/>
          </w:tcPr>
          <w:p>
            <w:pPr>
              <w:jc w:val="right"/>
              <w:ind w:right="419"/>
              <w:spacing w:after="0"/>
              <w:rPr>
                <w:sz w:val="20"/>
                <w:szCs w:val="20"/>
                <w:color w:val="auto"/>
              </w:rPr>
            </w:pPr>
            <w:r>
              <w:rPr>
                <w:rFonts w:ascii="Arial" w:cs="Arial" w:eastAsia="Arial" w:hAnsi="Arial"/>
                <w:sz w:val="14"/>
                <w:szCs w:val="14"/>
                <w:color w:val="auto"/>
              </w:rPr>
              <w:t>(15.0)%</w:t>
            </w:r>
          </w:p>
        </w:tc>
        <w:tc>
          <w:tcPr>
            <w:tcW w:w="92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03"/>
        </w:trPr>
        <w:tc>
          <w:tcPr>
            <w:tcW w:w="5060" w:type="dxa"/>
            <w:vAlign w:val="bottom"/>
          </w:tcPr>
          <w:p>
            <w:pPr>
              <w:ind w:left="20"/>
              <w:spacing w:after="0"/>
              <w:rPr>
                <w:sz w:val="20"/>
                <w:szCs w:val="20"/>
                <w:color w:val="auto"/>
              </w:rPr>
            </w:pPr>
            <w:r>
              <w:rPr>
                <w:rFonts w:ascii="Arial" w:cs="Arial" w:eastAsia="Arial" w:hAnsi="Arial"/>
                <w:sz w:val="14"/>
                <w:szCs w:val="14"/>
                <w:color w:val="auto"/>
              </w:rPr>
              <w:t>Adjusted operating income (loss) margin</w:t>
            </w:r>
          </w:p>
        </w:tc>
        <w:tc>
          <w:tcPr>
            <w:tcW w:w="1780" w:type="dxa"/>
            <w:vAlign w:val="bottom"/>
          </w:tcPr>
          <w:p>
            <w:pPr>
              <w:jc w:val="right"/>
              <w:ind w:right="406"/>
              <w:spacing w:after="0"/>
              <w:rPr>
                <w:sz w:val="20"/>
                <w:szCs w:val="20"/>
                <w:color w:val="auto"/>
              </w:rPr>
            </w:pPr>
            <w:r>
              <w:rPr>
                <w:rFonts w:ascii="Arial" w:cs="Arial" w:eastAsia="Arial" w:hAnsi="Arial"/>
                <w:sz w:val="14"/>
                <w:szCs w:val="14"/>
                <w:color w:val="auto"/>
              </w:rPr>
              <w:t>9.4 %</w:t>
            </w:r>
          </w:p>
        </w:tc>
        <w:tc>
          <w:tcPr>
            <w:tcW w:w="920" w:type="dxa"/>
            <w:vAlign w:val="bottom"/>
          </w:tcPr>
          <w:p>
            <w:pPr>
              <w:jc w:val="right"/>
              <w:spacing w:after="0"/>
              <w:rPr>
                <w:sz w:val="20"/>
                <w:szCs w:val="20"/>
                <w:color w:val="auto"/>
              </w:rPr>
            </w:pPr>
            <w:r>
              <w:rPr>
                <w:rFonts w:ascii="Arial" w:cs="Arial" w:eastAsia="Arial" w:hAnsi="Arial"/>
                <w:sz w:val="14"/>
                <w:szCs w:val="14"/>
                <w:color w:val="auto"/>
              </w:rPr>
              <w:t>15.4 %</w:t>
            </w:r>
          </w:p>
        </w:tc>
        <w:tc>
          <w:tcPr>
            <w:tcW w:w="1900" w:type="dxa"/>
            <w:vAlign w:val="bottom"/>
            <w:gridSpan w:val="2"/>
          </w:tcPr>
          <w:p>
            <w:pPr>
              <w:jc w:val="right"/>
              <w:ind w:right="419"/>
              <w:spacing w:after="0"/>
              <w:rPr>
                <w:sz w:val="20"/>
                <w:szCs w:val="20"/>
                <w:color w:val="auto"/>
              </w:rPr>
            </w:pPr>
            <w:r>
              <w:rPr>
                <w:rFonts w:ascii="Arial" w:cs="Arial" w:eastAsia="Arial" w:hAnsi="Arial"/>
                <w:sz w:val="14"/>
                <w:szCs w:val="14"/>
                <w:color w:val="auto"/>
              </w:rPr>
              <w:t>9.1 %</w:t>
            </w:r>
          </w:p>
        </w:tc>
        <w:tc>
          <w:tcPr>
            <w:tcW w:w="920" w:type="dxa"/>
            <w:vAlign w:val="bottom"/>
          </w:tcPr>
          <w:p>
            <w:pPr>
              <w:jc w:val="right"/>
              <w:spacing w:after="0"/>
              <w:rPr>
                <w:sz w:val="20"/>
                <w:szCs w:val="20"/>
                <w:color w:val="auto"/>
              </w:rPr>
            </w:pPr>
            <w:r>
              <w:rPr>
                <w:rFonts w:ascii="Arial" w:cs="Arial" w:eastAsia="Arial" w:hAnsi="Arial"/>
                <w:sz w:val="14"/>
                <w:szCs w:val="14"/>
                <w:color w:val="auto"/>
              </w:rPr>
              <w:t>15.1 %</w:t>
            </w:r>
          </w:p>
        </w:tc>
      </w:tr>
      <w:tr>
        <w:trPr>
          <w:trHeight w:val="203"/>
        </w:trPr>
        <w:tc>
          <w:tcPr>
            <w:tcW w:w="5060" w:type="dxa"/>
            <w:vAlign w:val="bottom"/>
          </w:tcPr>
          <w:p>
            <w:pPr>
              <w:ind w:left="20"/>
              <w:spacing w:after="0"/>
              <w:rPr>
                <w:sz w:val="20"/>
                <w:szCs w:val="20"/>
                <w:color w:val="auto"/>
              </w:rPr>
            </w:pPr>
            <w:r>
              <w:rPr>
                <w:rFonts w:ascii="Arial" w:cs="Arial" w:eastAsia="Arial" w:hAnsi="Arial"/>
                <w:sz w:val="14"/>
                <w:szCs w:val="14"/>
                <w:color w:val="auto"/>
              </w:rPr>
              <w:t>GAAP compensation ratio</w:t>
            </w:r>
          </w:p>
        </w:tc>
        <w:tc>
          <w:tcPr>
            <w:tcW w:w="1780" w:type="dxa"/>
            <w:vAlign w:val="bottom"/>
          </w:tcPr>
          <w:p>
            <w:pPr>
              <w:jc w:val="right"/>
              <w:ind w:right="406"/>
              <w:spacing w:after="0"/>
              <w:rPr>
                <w:sz w:val="20"/>
                <w:szCs w:val="20"/>
                <w:color w:val="auto"/>
              </w:rPr>
            </w:pPr>
            <w:r>
              <w:rPr>
                <w:rFonts w:ascii="Arial" w:cs="Arial" w:eastAsia="Arial" w:hAnsi="Arial"/>
                <w:sz w:val="14"/>
                <w:szCs w:val="14"/>
                <w:color w:val="auto"/>
              </w:rPr>
              <w:t>90 %</w:t>
            </w:r>
          </w:p>
        </w:tc>
        <w:tc>
          <w:tcPr>
            <w:tcW w:w="920" w:type="dxa"/>
            <w:vAlign w:val="bottom"/>
          </w:tcPr>
          <w:p>
            <w:pPr>
              <w:jc w:val="right"/>
              <w:spacing w:after="0"/>
              <w:rPr>
                <w:sz w:val="20"/>
                <w:szCs w:val="20"/>
                <w:color w:val="auto"/>
              </w:rPr>
            </w:pPr>
            <w:r>
              <w:rPr>
                <w:rFonts w:ascii="Arial" w:cs="Arial" w:eastAsia="Arial" w:hAnsi="Arial"/>
                <w:sz w:val="14"/>
                <w:szCs w:val="14"/>
                <w:color w:val="auto"/>
              </w:rPr>
              <w:t>84 %</w:t>
            </w:r>
          </w:p>
        </w:tc>
        <w:tc>
          <w:tcPr>
            <w:tcW w:w="1900" w:type="dxa"/>
            <w:vAlign w:val="bottom"/>
            <w:gridSpan w:val="2"/>
          </w:tcPr>
          <w:p>
            <w:pPr>
              <w:jc w:val="right"/>
              <w:ind w:right="419"/>
              <w:spacing w:after="0"/>
              <w:rPr>
                <w:sz w:val="20"/>
                <w:szCs w:val="20"/>
                <w:color w:val="auto"/>
              </w:rPr>
            </w:pPr>
            <w:r>
              <w:rPr>
                <w:rFonts w:ascii="Arial" w:cs="Arial" w:eastAsia="Arial" w:hAnsi="Arial"/>
                <w:sz w:val="14"/>
                <w:szCs w:val="14"/>
                <w:color w:val="auto"/>
              </w:rPr>
              <w:t>90 %</w:t>
            </w:r>
          </w:p>
        </w:tc>
        <w:tc>
          <w:tcPr>
            <w:tcW w:w="920" w:type="dxa"/>
            <w:vAlign w:val="bottom"/>
          </w:tcPr>
          <w:p>
            <w:pPr>
              <w:jc w:val="right"/>
              <w:spacing w:after="0"/>
              <w:rPr>
                <w:sz w:val="20"/>
                <w:szCs w:val="20"/>
                <w:color w:val="auto"/>
              </w:rPr>
            </w:pPr>
            <w:r>
              <w:rPr>
                <w:rFonts w:ascii="Arial" w:cs="Arial" w:eastAsia="Arial" w:hAnsi="Arial"/>
                <w:sz w:val="14"/>
                <w:szCs w:val="14"/>
                <w:color w:val="auto"/>
              </w:rPr>
              <w:t>84 %</w:t>
            </w:r>
          </w:p>
        </w:tc>
      </w:tr>
      <w:tr>
        <w:trPr>
          <w:trHeight w:val="189"/>
        </w:trPr>
        <w:tc>
          <w:tcPr>
            <w:tcW w:w="5060" w:type="dxa"/>
            <w:vAlign w:val="bottom"/>
          </w:tcPr>
          <w:p>
            <w:pPr>
              <w:ind w:left="20"/>
              <w:spacing w:after="0"/>
              <w:rPr>
                <w:sz w:val="20"/>
                <w:szCs w:val="20"/>
                <w:color w:val="auto"/>
              </w:rPr>
            </w:pPr>
            <w:r>
              <w:rPr>
                <w:rFonts w:ascii="Arial" w:cs="Arial" w:eastAsia="Arial" w:hAnsi="Arial"/>
                <w:sz w:val="14"/>
                <w:szCs w:val="14"/>
                <w:color w:val="auto"/>
              </w:rPr>
              <w:t>Adjusted compensation ratio</w:t>
            </w:r>
          </w:p>
        </w:tc>
        <w:tc>
          <w:tcPr>
            <w:tcW w:w="1780" w:type="dxa"/>
            <w:vAlign w:val="bottom"/>
          </w:tcPr>
          <w:p>
            <w:pPr>
              <w:jc w:val="right"/>
              <w:ind w:right="406"/>
              <w:spacing w:after="0"/>
              <w:rPr>
                <w:sz w:val="20"/>
                <w:szCs w:val="20"/>
                <w:color w:val="auto"/>
              </w:rPr>
            </w:pPr>
            <w:r>
              <w:rPr>
                <w:rFonts w:ascii="Arial" w:cs="Arial" w:eastAsia="Arial" w:hAnsi="Arial"/>
                <w:sz w:val="14"/>
                <w:szCs w:val="14"/>
                <w:color w:val="auto"/>
              </w:rPr>
              <w:t>69 %</w:t>
            </w:r>
          </w:p>
        </w:tc>
        <w:tc>
          <w:tcPr>
            <w:tcW w:w="920" w:type="dxa"/>
            <w:vAlign w:val="bottom"/>
          </w:tcPr>
          <w:p>
            <w:pPr>
              <w:jc w:val="right"/>
              <w:spacing w:after="0"/>
              <w:rPr>
                <w:sz w:val="20"/>
                <w:szCs w:val="20"/>
                <w:color w:val="auto"/>
              </w:rPr>
            </w:pPr>
            <w:r>
              <w:rPr>
                <w:rFonts w:ascii="Arial" w:cs="Arial" w:eastAsia="Arial" w:hAnsi="Arial"/>
                <w:sz w:val="14"/>
                <w:szCs w:val="14"/>
                <w:color w:val="auto"/>
              </w:rPr>
              <w:t>64 %</w:t>
            </w:r>
          </w:p>
        </w:tc>
        <w:tc>
          <w:tcPr>
            <w:tcW w:w="1900" w:type="dxa"/>
            <w:vAlign w:val="bottom"/>
            <w:gridSpan w:val="2"/>
          </w:tcPr>
          <w:p>
            <w:pPr>
              <w:jc w:val="right"/>
              <w:ind w:right="419"/>
              <w:spacing w:after="0"/>
              <w:rPr>
                <w:sz w:val="20"/>
                <w:szCs w:val="20"/>
                <w:color w:val="auto"/>
              </w:rPr>
            </w:pPr>
            <w:r>
              <w:rPr>
                <w:rFonts w:ascii="Arial" w:cs="Arial" w:eastAsia="Arial" w:hAnsi="Arial"/>
                <w:sz w:val="14"/>
                <w:szCs w:val="14"/>
                <w:color w:val="auto"/>
              </w:rPr>
              <w:t>67 %</w:t>
            </w:r>
          </w:p>
        </w:tc>
        <w:tc>
          <w:tcPr>
            <w:tcW w:w="920" w:type="dxa"/>
            <w:vAlign w:val="bottom"/>
          </w:tcPr>
          <w:p>
            <w:pPr>
              <w:jc w:val="right"/>
              <w:spacing w:after="0"/>
              <w:rPr>
                <w:sz w:val="20"/>
                <w:szCs w:val="20"/>
                <w:color w:val="auto"/>
              </w:rPr>
            </w:pPr>
            <w:r>
              <w:rPr>
                <w:rFonts w:ascii="Arial" w:cs="Arial" w:eastAsia="Arial" w:hAnsi="Arial"/>
                <w:sz w:val="14"/>
                <w:szCs w:val="14"/>
                <w:color w:val="auto"/>
              </w:rPr>
              <w:t>64 %</w:t>
            </w:r>
          </w:p>
        </w:tc>
      </w:tr>
      <w:tr>
        <w:trPr>
          <w:trHeight w:val="203"/>
        </w:trPr>
        <w:tc>
          <w:tcPr>
            <w:tcW w:w="5060" w:type="dxa"/>
            <w:vAlign w:val="bottom"/>
          </w:tcPr>
          <w:p>
            <w:pPr>
              <w:ind w:left="20"/>
              <w:spacing w:after="0"/>
              <w:rPr>
                <w:sz w:val="20"/>
                <w:szCs w:val="20"/>
                <w:color w:val="auto"/>
              </w:rPr>
            </w:pPr>
            <w:r>
              <w:rPr>
                <w:rFonts w:ascii="Arial" w:cs="Arial" w:eastAsia="Arial" w:hAnsi="Arial"/>
                <w:sz w:val="14"/>
                <w:szCs w:val="14"/>
                <w:color w:val="auto"/>
              </w:rPr>
              <w:t>GAAP effective tax rate</w:t>
            </w:r>
          </w:p>
        </w:tc>
        <w:tc>
          <w:tcPr>
            <w:tcW w:w="1780" w:type="dxa"/>
            <w:vAlign w:val="bottom"/>
          </w:tcPr>
          <w:p>
            <w:pPr>
              <w:jc w:val="right"/>
              <w:ind w:right="406"/>
              <w:spacing w:after="0"/>
              <w:rPr>
                <w:sz w:val="20"/>
                <w:szCs w:val="20"/>
                <w:color w:val="auto"/>
              </w:rPr>
            </w:pPr>
            <w:r>
              <w:rPr>
                <w:rFonts w:ascii="Arial" w:cs="Arial" w:eastAsia="Arial" w:hAnsi="Arial"/>
                <w:sz w:val="14"/>
                <w:szCs w:val="14"/>
                <w:color w:val="auto"/>
              </w:rPr>
              <w:t>20 %</w:t>
            </w:r>
          </w:p>
        </w:tc>
        <w:tc>
          <w:tcPr>
            <w:tcW w:w="920" w:type="dxa"/>
            <w:vAlign w:val="bottom"/>
          </w:tcPr>
          <w:p>
            <w:pPr>
              <w:jc w:val="right"/>
              <w:spacing w:after="0"/>
              <w:rPr>
                <w:sz w:val="20"/>
                <w:szCs w:val="20"/>
                <w:color w:val="auto"/>
              </w:rPr>
            </w:pPr>
            <w:r>
              <w:rPr>
                <w:rFonts w:ascii="Arial" w:cs="Arial" w:eastAsia="Arial" w:hAnsi="Arial"/>
                <w:sz w:val="14"/>
                <w:szCs w:val="14"/>
                <w:color w:val="auto"/>
              </w:rPr>
              <w:t>54 %</w:t>
            </w:r>
          </w:p>
        </w:tc>
        <w:tc>
          <w:tcPr>
            <w:tcW w:w="1900" w:type="dxa"/>
            <w:vAlign w:val="bottom"/>
            <w:gridSpan w:val="2"/>
          </w:tcPr>
          <w:p>
            <w:pPr>
              <w:jc w:val="right"/>
              <w:ind w:right="419"/>
              <w:spacing w:after="0"/>
              <w:rPr>
                <w:sz w:val="20"/>
                <w:szCs w:val="20"/>
                <w:color w:val="auto"/>
              </w:rPr>
            </w:pPr>
            <w:r>
              <w:rPr>
                <w:rFonts w:ascii="Arial" w:cs="Arial" w:eastAsia="Arial" w:hAnsi="Arial"/>
                <w:sz w:val="14"/>
                <w:szCs w:val="14"/>
                <w:color w:val="auto"/>
              </w:rPr>
              <w:t>(2)%</w:t>
            </w:r>
          </w:p>
        </w:tc>
        <w:tc>
          <w:tcPr>
            <w:tcW w:w="920" w:type="dxa"/>
            <w:vAlign w:val="bottom"/>
          </w:tcPr>
          <w:p>
            <w:pPr>
              <w:jc w:val="right"/>
              <w:spacing w:after="0"/>
              <w:rPr>
                <w:sz w:val="20"/>
                <w:szCs w:val="20"/>
                <w:color w:val="auto"/>
              </w:rPr>
            </w:pPr>
            <w:r>
              <w:rPr>
                <w:rFonts w:ascii="Arial" w:cs="Arial" w:eastAsia="Arial" w:hAnsi="Arial"/>
                <w:sz w:val="14"/>
                <w:szCs w:val="14"/>
                <w:color w:val="auto"/>
              </w:rPr>
              <w:t>62 %</w:t>
            </w:r>
          </w:p>
        </w:tc>
      </w:tr>
      <w:tr>
        <w:trPr>
          <w:trHeight w:val="203"/>
        </w:trPr>
        <w:tc>
          <w:tcPr>
            <w:tcW w:w="5060" w:type="dxa"/>
            <w:vAlign w:val="bottom"/>
          </w:tcPr>
          <w:p>
            <w:pPr>
              <w:ind w:left="20"/>
              <w:spacing w:after="0"/>
              <w:rPr>
                <w:sz w:val="20"/>
                <w:szCs w:val="20"/>
                <w:color w:val="auto"/>
              </w:rPr>
            </w:pPr>
            <w:r>
              <w:rPr>
                <w:rFonts w:ascii="Arial" w:cs="Arial" w:eastAsia="Arial" w:hAnsi="Arial"/>
                <w:sz w:val="14"/>
                <w:szCs w:val="14"/>
                <w:color w:val="auto"/>
              </w:rPr>
              <w:t>Adjusted if-converted effective tax rate</w:t>
            </w:r>
          </w:p>
        </w:tc>
        <w:tc>
          <w:tcPr>
            <w:tcW w:w="1780" w:type="dxa"/>
            <w:vAlign w:val="bottom"/>
          </w:tcPr>
          <w:p>
            <w:pPr>
              <w:jc w:val="right"/>
              <w:ind w:right="406"/>
              <w:spacing w:after="0"/>
              <w:rPr>
                <w:sz w:val="20"/>
                <w:szCs w:val="20"/>
                <w:color w:val="auto"/>
              </w:rPr>
            </w:pPr>
            <w:r>
              <w:rPr>
                <w:rFonts w:ascii="Arial" w:cs="Arial" w:eastAsia="Arial" w:hAnsi="Arial"/>
                <w:sz w:val="14"/>
                <w:szCs w:val="14"/>
                <w:color w:val="auto"/>
              </w:rPr>
              <w:t>16 %</w:t>
            </w:r>
          </w:p>
        </w:tc>
        <w:tc>
          <w:tcPr>
            <w:tcW w:w="920" w:type="dxa"/>
            <w:vAlign w:val="bottom"/>
          </w:tcPr>
          <w:p>
            <w:pPr>
              <w:jc w:val="right"/>
              <w:spacing w:after="0"/>
              <w:rPr>
                <w:sz w:val="20"/>
                <w:szCs w:val="20"/>
                <w:color w:val="auto"/>
              </w:rPr>
            </w:pPr>
            <w:r>
              <w:rPr>
                <w:rFonts w:ascii="Arial" w:cs="Arial" w:eastAsia="Arial" w:hAnsi="Arial"/>
                <w:sz w:val="14"/>
                <w:szCs w:val="14"/>
                <w:color w:val="auto"/>
              </w:rPr>
              <w:t>29 %</w:t>
            </w:r>
          </w:p>
        </w:tc>
        <w:tc>
          <w:tcPr>
            <w:tcW w:w="1900" w:type="dxa"/>
            <w:vAlign w:val="bottom"/>
            <w:gridSpan w:val="2"/>
          </w:tcPr>
          <w:p>
            <w:pPr>
              <w:jc w:val="right"/>
              <w:ind w:right="419"/>
              <w:spacing w:after="0"/>
              <w:rPr>
                <w:sz w:val="20"/>
                <w:szCs w:val="20"/>
                <w:color w:val="auto"/>
              </w:rPr>
            </w:pPr>
            <w:r>
              <w:rPr>
                <w:rFonts w:ascii="Arial" w:cs="Arial" w:eastAsia="Arial" w:hAnsi="Arial"/>
                <w:sz w:val="14"/>
                <w:szCs w:val="14"/>
                <w:color w:val="auto"/>
              </w:rPr>
              <w:t>22 %</w:t>
            </w:r>
          </w:p>
        </w:tc>
        <w:tc>
          <w:tcPr>
            <w:tcW w:w="920" w:type="dxa"/>
            <w:vAlign w:val="bottom"/>
          </w:tcPr>
          <w:p>
            <w:pPr>
              <w:jc w:val="right"/>
              <w:spacing w:after="0"/>
              <w:rPr>
                <w:sz w:val="20"/>
                <w:szCs w:val="20"/>
                <w:color w:val="auto"/>
              </w:rPr>
            </w:pPr>
            <w:r>
              <w:rPr>
                <w:rFonts w:ascii="Arial" w:cs="Arial" w:eastAsia="Arial" w:hAnsi="Arial"/>
                <w:sz w:val="14"/>
                <w:szCs w:val="14"/>
                <w:color w:val="auto"/>
              </w:rPr>
              <w:t>29 %</w:t>
            </w:r>
          </w:p>
        </w:tc>
      </w:tr>
    </w:tbl>
    <w:p>
      <w:pPr>
        <w:spacing w:after="0" w:line="40" w:lineRule="exact"/>
        <w:rPr>
          <w:sz w:val="20"/>
          <w:szCs w:val="20"/>
          <w:color w:val="auto"/>
        </w:rPr>
      </w:pPr>
    </w:p>
    <w:p>
      <w:pPr>
        <w:ind w:left="480" w:hanging="126"/>
        <w:spacing w:after="0"/>
        <w:tabs>
          <w:tab w:leader="none" w:pos="480" w:val="left"/>
        </w:tabs>
        <w:numPr>
          <w:ilvl w:val="0"/>
          <w:numId w:val="16"/>
        </w:numPr>
        <w:rPr>
          <w:rFonts w:ascii="Arial" w:cs="Arial" w:eastAsia="Arial" w:hAnsi="Arial"/>
          <w:sz w:val="15"/>
          <w:szCs w:val="15"/>
          <w:color w:val="auto"/>
          <w:vertAlign w:val="superscript"/>
        </w:rPr>
      </w:pPr>
      <w:r>
        <w:rPr>
          <w:rFonts w:ascii="Arial" w:cs="Arial" w:eastAsia="Arial" w:hAnsi="Arial"/>
          <w:sz w:val="12"/>
          <w:szCs w:val="12"/>
          <w:color w:val="auto"/>
        </w:rPr>
        <w:t>Reconciliations of key metrics from U.S. GAAP to Adjusted results are a derivative of the reconciliation of their components above.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U.S. GAAP Reconciliation of Adjusted Results:</w:t>
      </w:r>
    </w:p>
    <w:p>
      <w:pPr>
        <w:spacing w:after="0" w:line="307" w:lineRule="exact"/>
        <w:rPr>
          <w:sz w:val="20"/>
          <w:szCs w:val="20"/>
          <w:color w:val="auto"/>
        </w:rPr>
      </w:pPr>
    </w:p>
    <w:p>
      <w:pPr>
        <w:jc w:val="both"/>
        <w:ind w:left="500" w:hanging="492"/>
        <w:spacing w:after="0" w:line="315" w:lineRule="auto"/>
        <w:tabs>
          <w:tab w:leader="none" w:pos="5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Equity-based compensation not dilutive to investors in PWP or PWP Holdings LP (“PWP OpCo”) includes amortization of legacy awards granted to certain partners prior to the Business Combination and PWP Professional Partners LP (“Professional Partners”) alignment capital units and value capital units awards. The vesting of these awards does not dilute PWP shareholders relative to Professional Partners as Professional Partners’ interest in PWP OpCo does not change as a result of granting those equity awards to its working partners.</w:t>
      </w:r>
    </w:p>
    <w:p>
      <w:pPr>
        <w:spacing w:after="0" w:line="124" w:lineRule="exact"/>
        <w:rPr>
          <w:rFonts w:ascii="Arial" w:cs="Arial" w:eastAsia="Arial" w:hAnsi="Arial"/>
          <w:sz w:val="20"/>
          <w:szCs w:val="20"/>
          <w:color w:val="auto"/>
        </w:rPr>
      </w:pPr>
    </w:p>
    <w:p>
      <w:pPr>
        <w:jc w:val="both"/>
        <w:ind w:left="500" w:right="100" w:hanging="492"/>
        <w:spacing w:after="0" w:line="320" w:lineRule="auto"/>
        <w:tabs>
          <w:tab w:leader="none" w:pos="5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Public company transaction related incentives includes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spacing w:after="0" w:line="106" w:lineRule="exact"/>
        <w:rPr>
          <w:rFonts w:ascii="Arial" w:cs="Arial" w:eastAsia="Arial" w:hAnsi="Arial"/>
          <w:sz w:val="20"/>
          <w:szCs w:val="20"/>
          <w:color w:val="auto"/>
        </w:rPr>
      </w:pPr>
    </w:p>
    <w:p>
      <w:pPr>
        <w:jc w:val="both"/>
        <w:ind w:left="500" w:hanging="492"/>
        <w:spacing w:after="0" w:line="312" w:lineRule="auto"/>
        <w:tabs>
          <w:tab w:leader="none" w:pos="5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During the second quarter of 2023, we began a review of the business, which will result in employee reductions in order to improve compensation alignment and to provide greater flexibility to advance strategic opportunities. Costs include separation and transition benefits and the accelerated amortization (net of forfeitures) of certain equity-based awards. Such amortization includes $0.1 million for certain Professional Partners Awards and $0.5 million for certain transaction-related RSUs, which are excluded from Equity-based compensation not dilutive to investors in PWP or PWP OpCo and Public company transaction related incentives, respectively, for the three and six months ended June 30, 2023. Currently, we are estimating $23 million of total business realignment costs, including cash benefits and non-cash accelerated amortization of equity-based awards, with approximately $18 million expected to be incurred during the second half of 2023.</w:t>
      </w:r>
    </w:p>
    <w:p>
      <w:pPr>
        <w:spacing w:after="0" w:line="130" w:lineRule="exact"/>
        <w:rPr>
          <w:rFonts w:ascii="Arial" w:cs="Arial" w:eastAsia="Arial" w:hAnsi="Arial"/>
          <w:sz w:val="20"/>
          <w:szCs w:val="20"/>
          <w:color w:val="auto"/>
        </w:rPr>
      </w:pPr>
    </w:p>
    <w:p>
      <w:pPr>
        <w:jc w:val="both"/>
        <w:ind w:left="500" w:right="100" w:hanging="492"/>
        <w:spacing w:after="0" w:line="320" w:lineRule="auto"/>
        <w:tabs>
          <w:tab w:leader="none" w:pos="5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On November 30, 2016, we completed a business combination with Tudor, Pickering, Holt &amp; Co., LLC (TPH), an independent advisory firm focused on the energy industry. The adjustment reflects the amortization of intangible assets associated with the acquisition, and such assets will be fully amortized by November 30, 2026.</w:t>
      </w:r>
    </w:p>
    <w:p>
      <w:pPr>
        <w:spacing w:after="0" w:line="200" w:lineRule="exact"/>
        <w:rPr>
          <w:sz w:val="20"/>
          <w:szCs w:val="20"/>
          <w:color w:val="auto"/>
        </w:rPr>
      </w:pPr>
    </w:p>
    <w:p>
      <w:pPr>
        <w:spacing w:after="0" w:line="323" w:lineRule="exact"/>
        <w:rPr>
          <w:sz w:val="20"/>
          <w:szCs w:val="20"/>
          <w:color w:val="auto"/>
        </w:rPr>
      </w:pPr>
    </w:p>
    <w:p>
      <w:pPr>
        <w:jc w:val="both"/>
        <w:ind w:firstLine="8"/>
        <w:spacing w:after="0" w:line="257" w:lineRule="auto"/>
        <w:tabs>
          <w:tab w:leader="none" w:pos="9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r>
    </w:p>
    <w:p>
      <w:pPr>
        <w:jc w:val="both"/>
        <w:ind w:left="500" w:right="100" w:hanging="492"/>
        <w:spacing w:after="0" w:line="317" w:lineRule="auto"/>
        <w:tabs>
          <w:tab w:leader="none" w:pos="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Transaction costs that were expensed associated with the Business Combination, including (i) equity-based vesting for transaction-related RSUs issued to non-employees and (ii) costs incurred in 2023 related to a potential future partnership restructuring that was contemplated during the implementation of the up-C structure at the time of the Business Combination.</w:t>
      </w:r>
    </w:p>
    <w:p>
      <w:pPr>
        <w:spacing w:after="0" w:line="121" w:lineRule="exact"/>
        <w:rPr>
          <w:rFonts w:ascii="Arial" w:cs="Arial" w:eastAsia="Arial" w:hAnsi="Arial"/>
          <w:sz w:val="20"/>
          <w:szCs w:val="20"/>
          <w:color w:val="auto"/>
        </w:rPr>
      </w:pPr>
    </w:p>
    <w:p>
      <w:pPr>
        <w:ind w:left="500" w:right="100" w:hanging="492"/>
        <w:spacing w:after="0" w:line="331" w:lineRule="auto"/>
        <w:tabs>
          <w:tab w:leader="none" w:pos="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Transaction costs that were expensed associated with the exchange offer and solicitation relating to the Company’s outstanding warrants, which the Company commenced on July 22, 2022.</w:t>
      </w:r>
    </w:p>
    <w:p>
      <w:pPr>
        <w:spacing w:after="0" w:line="94" w:lineRule="exact"/>
        <w:rPr>
          <w:rFonts w:ascii="Arial" w:cs="Arial" w:eastAsia="Arial" w:hAnsi="Arial"/>
          <w:sz w:val="20"/>
          <w:szCs w:val="20"/>
          <w:color w:val="auto"/>
        </w:rPr>
      </w:pPr>
    </w:p>
    <w:p>
      <w:pPr>
        <w:ind w:left="500" w:right="100" w:hanging="492"/>
        <w:spacing w:after="0" w:line="331" w:lineRule="auto"/>
        <w:tabs>
          <w:tab w:leader="none" w:pos="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See reconciliation below for the components of the consolidated statements of operations included in non-compensation expense—GAAP as well as Adjusted non-compensation expense.</w:t>
      </w:r>
    </w:p>
    <w:p>
      <w:pPr>
        <w:spacing w:after="0" w:line="108" w:lineRule="exact"/>
        <w:rPr>
          <w:rFonts w:ascii="Arial" w:cs="Arial" w:eastAsia="Arial" w:hAnsi="Arial"/>
          <w:sz w:val="20"/>
          <w:szCs w:val="20"/>
          <w:color w:val="auto"/>
        </w:rPr>
      </w:pPr>
    </w:p>
    <w:p>
      <w:pPr>
        <w:jc w:val="both"/>
        <w:ind w:left="500" w:right="100" w:hanging="492"/>
        <w:spacing w:after="0" w:line="317" w:lineRule="auto"/>
        <w:tabs>
          <w:tab w:leader="none" w:pos="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For the three and six months ended June 30, 2022, this adjustment includes gains of $10.1 million and $22.1 million, respectively, on the change in fair value of warrant liabilities, which is non-cash and we believe not indicative of our core performance. A minimal adjustment for the amortization of debt discounts and issuance costs is also included for all periods as well as a non-operating loss on investment of $1.4 million for the three and six months ended June 30, 2023.</w:t>
      </w:r>
    </w:p>
    <w:p>
      <w:pPr>
        <w:spacing w:after="0" w:line="121" w:lineRule="exact"/>
        <w:rPr>
          <w:rFonts w:ascii="Arial" w:cs="Arial" w:eastAsia="Arial" w:hAnsi="Arial"/>
          <w:sz w:val="20"/>
          <w:szCs w:val="20"/>
          <w:color w:val="auto"/>
        </w:rPr>
      </w:pPr>
    </w:p>
    <w:p>
      <w:pPr>
        <w:jc w:val="both"/>
        <w:ind w:left="500" w:right="100" w:hanging="492"/>
        <w:spacing w:after="0" w:line="320" w:lineRule="auto"/>
        <w:tabs>
          <w:tab w:leader="none" w:pos="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non-GAAP tax expense represents the Company’s calculated tax expense on adjusted non-GAAP income. It excludes the impact on income taxes of certain transaction-related items and other items not reflected in our adjusted non-GAAP results. It does not represent the cash that the Company expects to pay for taxes in the current periods.</w:t>
      </w:r>
    </w:p>
    <w:p>
      <w:pPr>
        <w:spacing w:after="0" w:line="106" w:lineRule="exact"/>
        <w:rPr>
          <w:rFonts w:ascii="Arial" w:cs="Arial" w:eastAsia="Arial" w:hAnsi="Arial"/>
          <w:sz w:val="20"/>
          <w:szCs w:val="20"/>
          <w:color w:val="auto"/>
        </w:rPr>
      </w:pPr>
    </w:p>
    <w:p>
      <w:pPr>
        <w:jc w:val="both"/>
        <w:ind w:left="500" w:hanging="492"/>
        <w:spacing w:after="0" w:line="320" w:lineRule="auto"/>
        <w:tabs>
          <w:tab w:leader="none" w:pos="5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if-converted tax expense represents the Company's calculated tax expense on adjusted non-GAAP income assuming the exchange of all partnership units for PWP Class A common stock, resulting in all of the Company’s income being subject to corporate-level tax.</w:t>
      </w:r>
    </w:p>
    <w:p>
      <w:pPr>
        <w:spacing w:after="0" w:line="119" w:lineRule="exact"/>
        <w:rPr>
          <w:rFonts w:ascii="Arial" w:cs="Arial" w:eastAsia="Arial" w:hAnsi="Arial"/>
          <w:sz w:val="20"/>
          <w:szCs w:val="20"/>
          <w:color w:val="auto"/>
        </w:rPr>
      </w:pPr>
    </w:p>
    <w:p>
      <w:pPr>
        <w:ind w:left="500" w:hanging="492"/>
        <w:spacing w:after="0" w:line="331" w:lineRule="auto"/>
        <w:tabs>
          <w:tab w:leader="none" w:pos="485"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Assumed vesting of RSUs and performance restricted stock units (“PSUs”) as calculated using the treasury stock method and to the extent dilutive to Adjusted net income (loss) per Class A share—diluted, if-converted.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8"/>
        <w:spacing w:after="0" w:line="257" w:lineRule="auto"/>
        <w:tabs>
          <w:tab w:leader="none" w:pos="94"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234440" cy="608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08330"/>
                    </a:xfrm>
                    <a:prstGeom prst="rect">
                      <a:avLst/>
                    </a:prstGeom>
                    <a:noFill/>
                  </pic:spPr>
                </pic:pic>
              </a:graphicData>
            </a:graphic>
          </wp:anchor>
        </w:drawing>
        <w:t>U.S. GAAP Reconciliation of Adjusted Results (Unaudited)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73" w:lineRule="exact"/>
        <w:rPr>
          <w:sz w:val="20"/>
          <w:szCs w:val="20"/>
          <w:color w:val="auto"/>
        </w:rPr>
      </w:pPr>
    </w:p>
    <w:tbl>
      <w:tblPr>
        <w:tblLayout w:type="fixed"/>
        <w:tblInd w:w="420" w:type="dxa"/>
        <w:tblCellMar>
          <w:top w:w="0" w:type="dxa"/>
          <w:left w:w="0" w:type="dxa"/>
          <w:bottom w:w="0" w:type="dxa"/>
          <w:right w:w="0" w:type="dxa"/>
        </w:tblCellMar>
      </w:tblPr>
      <w:tr>
        <w:trPr>
          <w:trHeight w:val="201"/>
        </w:trPr>
        <w:tc>
          <w:tcPr>
            <w:tcW w:w="474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280" w:type="dxa"/>
            <w:vAlign w:val="bottom"/>
            <w:tcBorders>
              <w:bottom w:val="single" w:sz="8" w:color="B6B6B6"/>
            </w:tcBorders>
          </w:tcPr>
          <w:p>
            <w:pPr>
              <w:spacing w:after="0"/>
              <w:rPr>
                <w:sz w:val="17"/>
                <w:szCs w:val="17"/>
                <w:color w:val="auto"/>
              </w:rPr>
            </w:pPr>
          </w:p>
        </w:tc>
        <w:tc>
          <w:tcPr>
            <w:tcW w:w="2560" w:type="dxa"/>
            <w:vAlign w:val="bottom"/>
            <w:tcBorders>
              <w:bottom w:val="single" w:sz="8" w:color="B6B6B6"/>
            </w:tcBorders>
            <w:gridSpan w:val="2"/>
          </w:tcPr>
          <w:p>
            <w:pPr>
              <w:jc w:val="right"/>
              <w:spacing w:after="0"/>
              <w:rPr>
                <w:sz w:val="20"/>
                <w:szCs w:val="20"/>
                <w:color w:val="auto"/>
              </w:rPr>
            </w:pPr>
            <w:r>
              <w:rPr>
                <w:rFonts w:ascii="Arial" w:cs="Arial" w:eastAsia="Arial" w:hAnsi="Arial"/>
                <w:sz w:val="14"/>
                <w:szCs w:val="14"/>
                <w:b w:val="1"/>
                <w:bCs w:val="1"/>
                <w:color w:val="503C64"/>
              </w:rPr>
              <w:t>Three Months Ended June 30, 2023</w:t>
            </w:r>
          </w:p>
        </w:tc>
        <w:tc>
          <w:tcPr>
            <w:tcW w:w="32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spacing w:after="0"/>
              <w:rPr>
                <w:sz w:val="17"/>
                <w:szCs w:val="17"/>
                <w:color w:val="auto"/>
              </w:rPr>
            </w:pPr>
          </w:p>
        </w:tc>
      </w:tr>
      <w:tr>
        <w:trPr>
          <w:trHeight w:val="184"/>
        </w:trPr>
        <w:tc>
          <w:tcPr>
            <w:tcW w:w="4740" w:type="dxa"/>
            <w:vAlign w:val="bottom"/>
            <w:tcBorders>
              <w:bottom w:val="single" w:sz="8" w:color="B6B6B6"/>
            </w:tcBorders>
          </w:tcPr>
          <w:p>
            <w:pPr>
              <w:spacing w:after="0"/>
              <w:rPr>
                <w:sz w:val="15"/>
                <w:szCs w:val="15"/>
                <w:color w:val="auto"/>
              </w:rPr>
            </w:pPr>
          </w:p>
        </w:tc>
        <w:tc>
          <w:tcPr>
            <w:tcW w:w="260" w:type="dxa"/>
            <w:vAlign w:val="bottom"/>
            <w:tcBorders>
              <w:bottom w:val="single" w:sz="8" w:color="B6B6B6"/>
            </w:tcBorders>
          </w:tcPr>
          <w:p>
            <w:pPr>
              <w:spacing w:after="0"/>
              <w:rPr>
                <w:sz w:val="15"/>
                <w:szCs w:val="15"/>
                <w:color w:val="auto"/>
              </w:rPr>
            </w:pPr>
          </w:p>
        </w:tc>
        <w:tc>
          <w:tcPr>
            <w:tcW w:w="1280" w:type="dxa"/>
            <w:vAlign w:val="bottom"/>
            <w:tcBorders>
              <w:bottom w:val="single" w:sz="8" w:color="B6B6B6"/>
            </w:tcBorders>
          </w:tcPr>
          <w:p>
            <w:pPr>
              <w:jc w:val="right"/>
              <w:ind w:right="328"/>
              <w:spacing w:after="0"/>
              <w:rPr>
                <w:sz w:val="20"/>
                <w:szCs w:val="20"/>
                <w:color w:val="auto"/>
              </w:rPr>
            </w:pPr>
            <w:r>
              <w:rPr>
                <w:rFonts w:ascii="Arial" w:cs="Arial" w:eastAsia="Arial" w:hAnsi="Arial"/>
                <w:sz w:val="14"/>
                <w:szCs w:val="14"/>
                <w:b w:val="1"/>
                <w:bCs w:val="1"/>
                <w:color w:val="503C64"/>
              </w:rPr>
              <w:t>U.S. GAAP</w:t>
            </w:r>
          </w:p>
        </w:tc>
        <w:tc>
          <w:tcPr>
            <w:tcW w:w="500" w:type="dxa"/>
            <w:vAlign w:val="bottom"/>
            <w:tcBorders>
              <w:bottom w:val="single" w:sz="8" w:color="B6B6B6"/>
            </w:tcBorders>
          </w:tcPr>
          <w:p>
            <w:pPr>
              <w:spacing w:after="0"/>
              <w:rPr>
                <w:sz w:val="15"/>
                <w:szCs w:val="15"/>
                <w:color w:val="auto"/>
              </w:rPr>
            </w:pPr>
          </w:p>
        </w:tc>
        <w:tc>
          <w:tcPr>
            <w:tcW w:w="2060" w:type="dxa"/>
            <w:vAlign w:val="bottom"/>
            <w:tcBorders>
              <w:bottom w:val="single" w:sz="8" w:color="B6B6B6"/>
            </w:tcBorders>
          </w:tcPr>
          <w:p>
            <w:pPr>
              <w:jc w:val="right"/>
              <w:ind w:right="988"/>
              <w:spacing w:after="0"/>
              <w:rPr>
                <w:sz w:val="20"/>
                <w:szCs w:val="20"/>
                <w:color w:val="auto"/>
              </w:rPr>
            </w:pPr>
            <w:r>
              <w:rPr>
                <w:rFonts w:ascii="Arial" w:cs="Arial" w:eastAsia="Arial" w:hAnsi="Arial"/>
                <w:sz w:val="14"/>
                <w:szCs w:val="14"/>
                <w:b w:val="1"/>
                <w:bCs w:val="1"/>
                <w:color w:val="503C64"/>
              </w:rPr>
              <w:t>Adjustments</w:t>
            </w:r>
          </w:p>
        </w:tc>
        <w:tc>
          <w:tcPr>
            <w:tcW w:w="320" w:type="dxa"/>
            <w:vAlign w:val="bottom"/>
            <w:tcBorders>
              <w:bottom w:val="single" w:sz="8" w:color="B6B6B6"/>
            </w:tcBorders>
          </w:tcPr>
          <w:p>
            <w:pPr>
              <w:spacing w:after="0"/>
              <w:rPr>
                <w:sz w:val="15"/>
                <w:szCs w:val="15"/>
                <w:color w:val="auto"/>
              </w:rPr>
            </w:pPr>
          </w:p>
        </w:tc>
        <w:tc>
          <w:tcPr>
            <w:tcW w:w="1240" w:type="dxa"/>
            <w:vAlign w:val="bottom"/>
            <w:tcBorders>
              <w:bottom w:val="single" w:sz="8" w:color="B6B6B6"/>
            </w:tcBorders>
          </w:tcPr>
          <w:p>
            <w:pPr>
              <w:jc w:val="right"/>
              <w:ind w:right="368"/>
              <w:spacing w:after="0"/>
              <w:rPr>
                <w:sz w:val="20"/>
                <w:szCs w:val="20"/>
                <w:color w:val="auto"/>
              </w:rPr>
            </w:pPr>
            <w:r>
              <w:rPr>
                <w:rFonts w:ascii="Arial" w:cs="Arial" w:eastAsia="Arial" w:hAnsi="Arial"/>
                <w:sz w:val="14"/>
                <w:szCs w:val="14"/>
                <w:b w:val="1"/>
                <w:bCs w:val="1"/>
                <w:color w:val="503C64"/>
              </w:rPr>
              <w:t>Adjusted</w:t>
            </w:r>
          </w:p>
        </w:tc>
      </w:tr>
      <w:tr>
        <w:trPr>
          <w:trHeight w:val="184"/>
        </w:trPr>
        <w:tc>
          <w:tcPr>
            <w:tcW w:w="474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8,737</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468"/>
              <w:spacing w:after="0"/>
              <w:rPr>
                <w:sz w:val="20"/>
                <w:szCs w:val="20"/>
                <w:color w:val="auto"/>
              </w:rPr>
            </w:pPr>
            <w:r>
              <w:rPr>
                <w:rFonts w:ascii="Arial" w:cs="Arial" w:eastAsia="Arial" w:hAnsi="Arial"/>
                <w:sz w:val="14"/>
                <w:szCs w:val="14"/>
                <w:color w:val="auto"/>
              </w:rPr>
              <w:t xml:space="preserve">(840) </w:t>
            </w:r>
            <w:r>
              <w:rPr>
                <w:rFonts w:ascii="Arial" w:cs="Arial" w:eastAsia="Arial" w:hAnsi="Arial"/>
                <w:sz w:val="12"/>
                <w:szCs w:val="12"/>
                <w:color w:val="auto"/>
              </w:rPr>
              <w:t>(1)</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7,897</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9,293</w:t>
            </w:r>
          </w:p>
        </w:tc>
        <w:tc>
          <w:tcPr>
            <w:tcW w:w="500" w:type="dxa"/>
            <w:vAlign w:val="bottom"/>
          </w:tcPr>
          <w:p>
            <w:pPr>
              <w:spacing w:after="0"/>
              <w:rPr>
                <w:sz w:val="17"/>
                <w:szCs w:val="17"/>
                <w:color w:val="auto"/>
              </w:rPr>
            </w:pPr>
          </w:p>
        </w:tc>
        <w:tc>
          <w:tcPr>
            <w:tcW w:w="20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9,293</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6,678</w:t>
            </w:r>
          </w:p>
        </w:tc>
        <w:tc>
          <w:tcPr>
            <w:tcW w:w="500" w:type="dxa"/>
            <w:vAlign w:val="bottom"/>
          </w:tcPr>
          <w:p>
            <w:pPr>
              <w:spacing w:after="0"/>
              <w:rPr>
                <w:sz w:val="17"/>
                <w:szCs w:val="17"/>
                <w:color w:val="auto"/>
              </w:rPr>
            </w:pPr>
          </w:p>
        </w:tc>
        <w:tc>
          <w:tcPr>
            <w:tcW w:w="20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6,678</w:t>
            </w:r>
          </w:p>
        </w:tc>
      </w:tr>
      <w:tr>
        <w:trPr>
          <w:trHeight w:val="189"/>
        </w:trPr>
        <w:tc>
          <w:tcPr>
            <w:tcW w:w="474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4,726</w:t>
            </w:r>
          </w:p>
        </w:tc>
        <w:tc>
          <w:tcPr>
            <w:tcW w:w="500" w:type="dxa"/>
            <w:vAlign w:val="bottom"/>
          </w:tcPr>
          <w:p>
            <w:pPr>
              <w:spacing w:after="0"/>
              <w:rPr>
                <w:sz w:val="16"/>
                <w:szCs w:val="16"/>
                <w:color w:val="auto"/>
              </w:rPr>
            </w:pPr>
          </w:p>
        </w:tc>
        <w:tc>
          <w:tcPr>
            <w:tcW w:w="20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4,726</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5,796</w:t>
            </w:r>
          </w:p>
        </w:tc>
        <w:tc>
          <w:tcPr>
            <w:tcW w:w="500" w:type="dxa"/>
            <w:vAlign w:val="bottom"/>
          </w:tcPr>
          <w:p>
            <w:pPr>
              <w:spacing w:after="0"/>
              <w:rPr>
                <w:sz w:val="17"/>
                <w:szCs w:val="17"/>
                <w:color w:val="auto"/>
              </w:rPr>
            </w:pPr>
          </w:p>
        </w:tc>
        <w:tc>
          <w:tcPr>
            <w:tcW w:w="20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5,796</w:t>
            </w:r>
          </w:p>
        </w:tc>
      </w:tr>
      <w:tr>
        <w:trPr>
          <w:trHeight w:val="228"/>
        </w:trPr>
        <w:tc>
          <w:tcPr>
            <w:tcW w:w="47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B6B6B6"/>
            </w:tcBorders>
          </w:tcPr>
          <w:p>
            <w:pPr>
              <w:spacing w:after="0"/>
              <w:rPr>
                <w:sz w:val="19"/>
                <w:szCs w:val="19"/>
                <w:color w:val="auto"/>
              </w:rPr>
            </w:pPr>
          </w:p>
        </w:tc>
        <w:tc>
          <w:tcPr>
            <w:tcW w:w="128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3,639</w:t>
            </w:r>
          </w:p>
        </w:tc>
        <w:tc>
          <w:tcPr>
            <w:tcW w:w="500" w:type="dxa"/>
            <w:vAlign w:val="bottom"/>
            <w:tcBorders>
              <w:bottom w:val="single" w:sz="8" w:color="B6B6B6"/>
            </w:tcBorders>
          </w:tcPr>
          <w:p>
            <w:pPr>
              <w:spacing w:after="0"/>
              <w:rPr>
                <w:sz w:val="19"/>
                <w:szCs w:val="19"/>
                <w:color w:val="auto"/>
              </w:rPr>
            </w:pPr>
          </w:p>
        </w:tc>
        <w:tc>
          <w:tcPr>
            <w:tcW w:w="206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320" w:type="dxa"/>
            <w:vAlign w:val="bottom"/>
            <w:tcBorders>
              <w:bottom w:val="single" w:sz="8" w:color="B6B6B6"/>
            </w:tcBorders>
          </w:tcPr>
          <w:p>
            <w:pPr>
              <w:spacing w:after="0"/>
              <w:rPr>
                <w:sz w:val="19"/>
                <w:szCs w:val="19"/>
                <w:color w:val="auto"/>
              </w:rPr>
            </w:pP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1,994</w:t>
            </w:r>
          </w:p>
        </w:tc>
      </w:tr>
      <w:tr>
        <w:trPr>
          <w:trHeight w:val="194"/>
        </w:trPr>
        <w:tc>
          <w:tcPr>
            <w:tcW w:w="474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38,869</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668"/>
              <w:spacing w:after="0"/>
              <w:rPr>
                <w:sz w:val="20"/>
                <w:szCs w:val="20"/>
                <w:color w:val="auto"/>
              </w:rPr>
            </w:pPr>
            <w:r>
              <w:rPr>
                <w:rFonts w:ascii="Arial" w:cs="Arial" w:eastAsia="Arial" w:hAnsi="Arial"/>
                <w:sz w:val="14"/>
                <w:szCs w:val="14"/>
                <w:color w:val="auto"/>
              </w:rPr>
              <w:t>(2,485)</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36,384</w:t>
            </w:r>
          </w:p>
        </w:tc>
      </w:tr>
    </w:tbl>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1"/>
        </w:trPr>
        <w:tc>
          <w:tcPr>
            <w:tcW w:w="474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280" w:type="dxa"/>
            <w:vAlign w:val="bottom"/>
            <w:tcBorders>
              <w:bottom w:val="single" w:sz="8" w:color="B6B6B6"/>
            </w:tcBorders>
          </w:tcPr>
          <w:p>
            <w:pPr>
              <w:spacing w:after="0"/>
              <w:rPr>
                <w:sz w:val="17"/>
                <w:szCs w:val="17"/>
                <w:color w:val="auto"/>
              </w:rPr>
            </w:pPr>
          </w:p>
        </w:tc>
        <w:tc>
          <w:tcPr>
            <w:tcW w:w="2560" w:type="dxa"/>
            <w:vAlign w:val="bottom"/>
            <w:tcBorders>
              <w:bottom w:val="single" w:sz="8" w:color="B6B6B6"/>
            </w:tcBorders>
            <w:gridSpan w:val="2"/>
          </w:tcPr>
          <w:p>
            <w:pPr>
              <w:jc w:val="right"/>
              <w:spacing w:after="0"/>
              <w:rPr>
                <w:sz w:val="20"/>
                <w:szCs w:val="20"/>
                <w:color w:val="auto"/>
              </w:rPr>
            </w:pPr>
            <w:r>
              <w:rPr>
                <w:rFonts w:ascii="Arial" w:cs="Arial" w:eastAsia="Arial" w:hAnsi="Arial"/>
                <w:sz w:val="14"/>
                <w:szCs w:val="14"/>
                <w:b w:val="1"/>
                <w:bCs w:val="1"/>
                <w:color w:val="503C64"/>
              </w:rPr>
              <w:t>Three Months Ended June 30, 2022</w:t>
            </w:r>
          </w:p>
        </w:tc>
        <w:tc>
          <w:tcPr>
            <w:tcW w:w="32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spacing w:after="0"/>
              <w:rPr>
                <w:sz w:val="17"/>
                <w:szCs w:val="17"/>
                <w:color w:val="auto"/>
              </w:rPr>
            </w:pPr>
          </w:p>
        </w:tc>
      </w:tr>
      <w:tr>
        <w:trPr>
          <w:trHeight w:val="183"/>
        </w:trPr>
        <w:tc>
          <w:tcPr>
            <w:tcW w:w="4740" w:type="dxa"/>
            <w:vAlign w:val="bottom"/>
            <w:tcBorders>
              <w:bottom w:val="single" w:sz="8" w:color="B6B6B6"/>
            </w:tcBorders>
          </w:tcPr>
          <w:p>
            <w:pPr>
              <w:spacing w:after="0"/>
              <w:rPr>
                <w:sz w:val="15"/>
                <w:szCs w:val="15"/>
                <w:color w:val="auto"/>
              </w:rPr>
            </w:pPr>
          </w:p>
        </w:tc>
        <w:tc>
          <w:tcPr>
            <w:tcW w:w="260" w:type="dxa"/>
            <w:vAlign w:val="bottom"/>
            <w:tcBorders>
              <w:bottom w:val="single" w:sz="8" w:color="B6B6B6"/>
            </w:tcBorders>
          </w:tcPr>
          <w:p>
            <w:pPr>
              <w:spacing w:after="0"/>
              <w:rPr>
                <w:sz w:val="15"/>
                <w:szCs w:val="15"/>
                <w:color w:val="auto"/>
              </w:rPr>
            </w:pPr>
          </w:p>
        </w:tc>
        <w:tc>
          <w:tcPr>
            <w:tcW w:w="1280" w:type="dxa"/>
            <w:vAlign w:val="bottom"/>
            <w:tcBorders>
              <w:bottom w:val="single" w:sz="8" w:color="B6B6B6"/>
            </w:tcBorders>
          </w:tcPr>
          <w:p>
            <w:pPr>
              <w:jc w:val="right"/>
              <w:ind w:right="328"/>
              <w:spacing w:after="0"/>
              <w:rPr>
                <w:sz w:val="20"/>
                <w:szCs w:val="20"/>
                <w:color w:val="auto"/>
              </w:rPr>
            </w:pPr>
            <w:r>
              <w:rPr>
                <w:rFonts w:ascii="Arial" w:cs="Arial" w:eastAsia="Arial" w:hAnsi="Arial"/>
                <w:sz w:val="14"/>
                <w:szCs w:val="14"/>
                <w:b w:val="1"/>
                <w:bCs w:val="1"/>
                <w:color w:val="503C64"/>
              </w:rPr>
              <w:t>U.S. GAAP</w:t>
            </w:r>
          </w:p>
        </w:tc>
        <w:tc>
          <w:tcPr>
            <w:tcW w:w="500" w:type="dxa"/>
            <w:vAlign w:val="bottom"/>
            <w:tcBorders>
              <w:bottom w:val="single" w:sz="8" w:color="B6B6B6"/>
            </w:tcBorders>
          </w:tcPr>
          <w:p>
            <w:pPr>
              <w:spacing w:after="0"/>
              <w:rPr>
                <w:sz w:val="15"/>
                <w:szCs w:val="15"/>
                <w:color w:val="auto"/>
              </w:rPr>
            </w:pPr>
          </w:p>
        </w:tc>
        <w:tc>
          <w:tcPr>
            <w:tcW w:w="2060" w:type="dxa"/>
            <w:vAlign w:val="bottom"/>
            <w:tcBorders>
              <w:bottom w:val="single" w:sz="8" w:color="B6B6B6"/>
            </w:tcBorders>
          </w:tcPr>
          <w:p>
            <w:pPr>
              <w:jc w:val="right"/>
              <w:ind w:right="988"/>
              <w:spacing w:after="0"/>
              <w:rPr>
                <w:sz w:val="20"/>
                <w:szCs w:val="20"/>
                <w:color w:val="auto"/>
              </w:rPr>
            </w:pPr>
            <w:r>
              <w:rPr>
                <w:rFonts w:ascii="Arial" w:cs="Arial" w:eastAsia="Arial" w:hAnsi="Arial"/>
                <w:sz w:val="14"/>
                <w:szCs w:val="14"/>
                <w:b w:val="1"/>
                <w:bCs w:val="1"/>
                <w:color w:val="503C64"/>
              </w:rPr>
              <w:t>Adjustments</w:t>
            </w:r>
          </w:p>
        </w:tc>
        <w:tc>
          <w:tcPr>
            <w:tcW w:w="320" w:type="dxa"/>
            <w:vAlign w:val="bottom"/>
            <w:tcBorders>
              <w:bottom w:val="single" w:sz="8" w:color="B6B6B6"/>
            </w:tcBorders>
          </w:tcPr>
          <w:p>
            <w:pPr>
              <w:spacing w:after="0"/>
              <w:rPr>
                <w:sz w:val="15"/>
                <w:szCs w:val="15"/>
                <w:color w:val="auto"/>
              </w:rPr>
            </w:pPr>
          </w:p>
        </w:tc>
        <w:tc>
          <w:tcPr>
            <w:tcW w:w="1240" w:type="dxa"/>
            <w:vAlign w:val="bottom"/>
            <w:tcBorders>
              <w:bottom w:val="single" w:sz="8" w:color="B6B6B6"/>
            </w:tcBorders>
          </w:tcPr>
          <w:p>
            <w:pPr>
              <w:jc w:val="right"/>
              <w:ind w:right="368"/>
              <w:spacing w:after="0"/>
              <w:rPr>
                <w:sz w:val="20"/>
                <w:szCs w:val="20"/>
                <w:color w:val="auto"/>
              </w:rPr>
            </w:pPr>
            <w:r>
              <w:rPr>
                <w:rFonts w:ascii="Arial" w:cs="Arial" w:eastAsia="Arial" w:hAnsi="Arial"/>
                <w:sz w:val="14"/>
                <w:szCs w:val="14"/>
                <w:b w:val="1"/>
                <w:bCs w:val="1"/>
                <w:color w:val="503C64"/>
              </w:rPr>
              <w:t>Adjusted</w:t>
            </w:r>
          </w:p>
        </w:tc>
      </w:tr>
      <w:tr>
        <w:trPr>
          <w:trHeight w:val="184"/>
        </w:trPr>
        <w:tc>
          <w:tcPr>
            <w:tcW w:w="474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7,419</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468"/>
              <w:spacing w:after="0"/>
              <w:rPr>
                <w:sz w:val="20"/>
                <w:szCs w:val="20"/>
                <w:color w:val="auto"/>
              </w:rPr>
            </w:pPr>
            <w:r>
              <w:rPr>
                <w:rFonts w:ascii="Arial" w:cs="Arial" w:eastAsia="Arial" w:hAnsi="Arial"/>
                <w:sz w:val="14"/>
                <w:szCs w:val="14"/>
                <w:color w:val="auto"/>
              </w:rPr>
              <w:t xml:space="preserve">(427) </w:t>
            </w:r>
            <w:r>
              <w:rPr>
                <w:rFonts w:ascii="Arial" w:cs="Arial" w:eastAsia="Arial" w:hAnsi="Arial"/>
                <w:sz w:val="12"/>
                <w:szCs w:val="12"/>
                <w:color w:val="auto"/>
              </w:rPr>
              <w:t>(1)</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6,992</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7,521</w:t>
            </w:r>
          </w:p>
        </w:tc>
        <w:tc>
          <w:tcPr>
            <w:tcW w:w="500" w:type="dxa"/>
            <w:vAlign w:val="bottom"/>
          </w:tcPr>
          <w:p>
            <w:pPr>
              <w:spacing w:after="0"/>
              <w:rPr>
                <w:sz w:val="17"/>
                <w:szCs w:val="17"/>
                <w:color w:val="auto"/>
              </w:rPr>
            </w:pPr>
          </w:p>
        </w:tc>
        <w:tc>
          <w:tcPr>
            <w:tcW w:w="20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7,521</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5,378</w:t>
            </w:r>
          </w:p>
        </w:tc>
        <w:tc>
          <w:tcPr>
            <w:tcW w:w="500" w:type="dxa"/>
            <w:vAlign w:val="bottom"/>
          </w:tcPr>
          <w:p>
            <w:pPr>
              <w:spacing w:after="0"/>
              <w:rPr>
                <w:sz w:val="17"/>
                <w:szCs w:val="17"/>
                <w:color w:val="auto"/>
              </w:rPr>
            </w:pPr>
          </w:p>
        </w:tc>
        <w:tc>
          <w:tcPr>
            <w:tcW w:w="20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5,378</w:t>
            </w:r>
          </w:p>
        </w:tc>
      </w:tr>
      <w:tr>
        <w:trPr>
          <w:trHeight w:val="189"/>
        </w:trPr>
        <w:tc>
          <w:tcPr>
            <w:tcW w:w="474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3,641</w:t>
            </w:r>
          </w:p>
        </w:tc>
        <w:tc>
          <w:tcPr>
            <w:tcW w:w="500" w:type="dxa"/>
            <w:vAlign w:val="bottom"/>
          </w:tcPr>
          <w:p>
            <w:pPr>
              <w:spacing w:after="0"/>
              <w:rPr>
                <w:sz w:val="16"/>
                <w:szCs w:val="16"/>
                <w:color w:val="auto"/>
              </w:rPr>
            </w:pPr>
          </w:p>
        </w:tc>
        <w:tc>
          <w:tcPr>
            <w:tcW w:w="20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3,641</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6,491</w:t>
            </w:r>
          </w:p>
        </w:tc>
        <w:tc>
          <w:tcPr>
            <w:tcW w:w="500" w:type="dxa"/>
            <w:vAlign w:val="bottom"/>
          </w:tcPr>
          <w:p>
            <w:pPr>
              <w:spacing w:after="0"/>
              <w:rPr>
                <w:sz w:val="17"/>
                <w:szCs w:val="17"/>
                <w:color w:val="auto"/>
              </w:rPr>
            </w:pPr>
          </w:p>
        </w:tc>
        <w:tc>
          <w:tcPr>
            <w:tcW w:w="20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6,491</w:t>
            </w:r>
          </w:p>
        </w:tc>
      </w:tr>
      <w:tr>
        <w:trPr>
          <w:trHeight w:val="201"/>
        </w:trPr>
        <w:tc>
          <w:tcPr>
            <w:tcW w:w="47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B6B6B6"/>
            </w:tcBorders>
          </w:tcPr>
          <w:p>
            <w:pPr>
              <w:spacing w:after="0"/>
              <w:rPr>
                <w:sz w:val="17"/>
                <w:szCs w:val="17"/>
                <w:color w:val="auto"/>
              </w:rPr>
            </w:pPr>
          </w:p>
        </w:tc>
        <w:tc>
          <w:tcPr>
            <w:tcW w:w="128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2,653</w:t>
            </w:r>
          </w:p>
        </w:tc>
        <w:tc>
          <w:tcPr>
            <w:tcW w:w="500" w:type="dxa"/>
            <w:vAlign w:val="bottom"/>
            <w:tcBorders>
              <w:bottom w:val="single" w:sz="8" w:color="B6B6B6"/>
            </w:tcBorders>
          </w:tcPr>
          <w:p>
            <w:pPr>
              <w:spacing w:after="0"/>
              <w:rPr>
                <w:sz w:val="17"/>
                <w:szCs w:val="17"/>
                <w:color w:val="auto"/>
              </w:rPr>
            </w:pPr>
          </w:p>
        </w:tc>
        <w:tc>
          <w:tcPr>
            <w:tcW w:w="2060" w:type="dxa"/>
            <w:vAlign w:val="bottom"/>
            <w:tcBorders>
              <w:bottom w:val="single" w:sz="8" w:color="B6B6B6"/>
            </w:tcBorders>
          </w:tcPr>
          <w:p>
            <w:pPr>
              <w:jc w:val="right"/>
              <w:ind w:right="46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(2)</w:t>
            </w:r>
          </w:p>
        </w:tc>
        <w:tc>
          <w:tcPr>
            <w:tcW w:w="32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1,008</w:t>
            </w:r>
          </w:p>
        </w:tc>
      </w:tr>
      <w:tr>
        <w:trPr>
          <w:trHeight w:val="194"/>
        </w:trPr>
        <w:tc>
          <w:tcPr>
            <w:tcW w:w="474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33,103</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60" w:type="dxa"/>
            <w:vAlign w:val="bottom"/>
          </w:tcPr>
          <w:p>
            <w:pPr>
              <w:jc w:val="right"/>
              <w:ind w:right="668"/>
              <w:spacing w:after="0"/>
              <w:rPr>
                <w:sz w:val="20"/>
                <w:szCs w:val="20"/>
                <w:color w:val="auto"/>
              </w:rPr>
            </w:pPr>
            <w:r>
              <w:rPr>
                <w:rFonts w:ascii="Arial" w:cs="Arial" w:eastAsia="Arial" w:hAnsi="Arial"/>
                <w:sz w:val="14"/>
                <w:szCs w:val="14"/>
                <w:color w:val="auto"/>
              </w:rPr>
              <w:t>(2,072)</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31,031</w:t>
            </w:r>
          </w:p>
        </w:tc>
      </w:tr>
    </w:tbl>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1"/>
        </w:trPr>
        <w:tc>
          <w:tcPr>
            <w:tcW w:w="474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340" w:type="dxa"/>
            <w:vAlign w:val="bottom"/>
            <w:tcBorders>
              <w:bottom w:val="single" w:sz="8" w:color="B6B6B6"/>
            </w:tcBorders>
          </w:tcPr>
          <w:p>
            <w:pPr>
              <w:spacing w:after="0"/>
              <w:rPr>
                <w:sz w:val="17"/>
                <w:szCs w:val="17"/>
                <w:color w:val="auto"/>
              </w:rPr>
            </w:pPr>
          </w:p>
        </w:tc>
        <w:tc>
          <w:tcPr>
            <w:tcW w:w="2460" w:type="dxa"/>
            <w:vAlign w:val="bottom"/>
            <w:tcBorders>
              <w:bottom w:val="single" w:sz="8" w:color="B6B6B6"/>
            </w:tcBorders>
            <w:gridSpan w:val="2"/>
          </w:tcPr>
          <w:p>
            <w:pPr>
              <w:jc w:val="right"/>
              <w:ind w:right="48"/>
              <w:spacing w:after="0"/>
              <w:rPr>
                <w:sz w:val="20"/>
                <w:szCs w:val="20"/>
                <w:color w:val="auto"/>
              </w:rPr>
            </w:pPr>
            <w:r>
              <w:rPr>
                <w:rFonts w:ascii="Arial" w:cs="Arial" w:eastAsia="Arial" w:hAnsi="Arial"/>
                <w:sz w:val="14"/>
                <w:szCs w:val="14"/>
                <w:b w:val="1"/>
                <w:bCs w:val="1"/>
                <w:color w:val="503C64"/>
              </w:rPr>
              <w:t>Six Months Ended June 30, 2023</w:t>
            </w: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spacing w:after="0"/>
              <w:rPr>
                <w:sz w:val="17"/>
                <w:szCs w:val="17"/>
                <w:color w:val="auto"/>
              </w:rPr>
            </w:pPr>
          </w:p>
        </w:tc>
      </w:tr>
      <w:tr>
        <w:trPr>
          <w:trHeight w:val="184"/>
        </w:trPr>
        <w:tc>
          <w:tcPr>
            <w:tcW w:w="4740" w:type="dxa"/>
            <w:vAlign w:val="bottom"/>
            <w:tcBorders>
              <w:bottom w:val="single" w:sz="8" w:color="B6B6B6"/>
            </w:tcBorders>
          </w:tcPr>
          <w:p>
            <w:pPr>
              <w:spacing w:after="0"/>
              <w:rPr>
                <w:sz w:val="15"/>
                <w:szCs w:val="15"/>
                <w:color w:val="auto"/>
              </w:rPr>
            </w:pPr>
          </w:p>
        </w:tc>
        <w:tc>
          <w:tcPr>
            <w:tcW w:w="260" w:type="dxa"/>
            <w:vAlign w:val="bottom"/>
            <w:tcBorders>
              <w:bottom w:val="single" w:sz="8" w:color="B6B6B6"/>
            </w:tcBorders>
          </w:tcPr>
          <w:p>
            <w:pPr>
              <w:spacing w:after="0"/>
              <w:rPr>
                <w:sz w:val="15"/>
                <w:szCs w:val="15"/>
                <w:color w:val="auto"/>
              </w:rPr>
            </w:pPr>
          </w:p>
        </w:tc>
        <w:tc>
          <w:tcPr>
            <w:tcW w:w="134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503C64"/>
              </w:rPr>
              <w:t>U.S. GAAP</w:t>
            </w:r>
          </w:p>
        </w:tc>
        <w:tc>
          <w:tcPr>
            <w:tcW w:w="440" w:type="dxa"/>
            <w:vAlign w:val="bottom"/>
            <w:tcBorders>
              <w:bottom w:val="single" w:sz="8" w:color="B6B6B6"/>
            </w:tcBorders>
          </w:tcPr>
          <w:p>
            <w:pPr>
              <w:spacing w:after="0"/>
              <w:rPr>
                <w:sz w:val="15"/>
                <w:szCs w:val="15"/>
                <w:color w:val="auto"/>
              </w:rPr>
            </w:pPr>
          </w:p>
        </w:tc>
        <w:tc>
          <w:tcPr>
            <w:tcW w:w="2020" w:type="dxa"/>
            <w:vAlign w:val="bottom"/>
            <w:tcBorders>
              <w:bottom w:val="single" w:sz="8" w:color="B6B6B6"/>
            </w:tcBorders>
          </w:tcPr>
          <w:p>
            <w:pPr>
              <w:jc w:val="right"/>
              <w:ind w:right="948"/>
              <w:spacing w:after="0"/>
              <w:rPr>
                <w:sz w:val="20"/>
                <w:szCs w:val="20"/>
                <w:color w:val="auto"/>
              </w:rPr>
            </w:pPr>
            <w:r>
              <w:rPr>
                <w:rFonts w:ascii="Arial" w:cs="Arial" w:eastAsia="Arial" w:hAnsi="Arial"/>
                <w:sz w:val="14"/>
                <w:szCs w:val="14"/>
                <w:b w:val="1"/>
                <w:bCs w:val="1"/>
                <w:color w:val="503C64"/>
              </w:rPr>
              <w:t>Adjustments</w:t>
            </w:r>
          </w:p>
        </w:tc>
        <w:tc>
          <w:tcPr>
            <w:tcW w:w="360" w:type="dxa"/>
            <w:vAlign w:val="bottom"/>
            <w:tcBorders>
              <w:bottom w:val="single" w:sz="8" w:color="B6B6B6"/>
            </w:tcBorders>
          </w:tcPr>
          <w:p>
            <w:pPr>
              <w:spacing w:after="0"/>
              <w:rPr>
                <w:sz w:val="15"/>
                <w:szCs w:val="15"/>
                <w:color w:val="auto"/>
              </w:rPr>
            </w:pPr>
          </w:p>
        </w:tc>
        <w:tc>
          <w:tcPr>
            <w:tcW w:w="1240" w:type="dxa"/>
            <w:vAlign w:val="bottom"/>
            <w:tcBorders>
              <w:bottom w:val="single" w:sz="8" w:color="B6B6B6"/>
            </w:tcBorders>
          </w:tcPr>
          <w:p>
            <w:pPr>
              <w:jc w:val="right"/>
              <w:ind w:right="368"/>
              <w:spacing w:after="0"/>
              <w:rPr>
                <w:sz w:val="20"/>
                <w:szCs w:val="20"/>
                <w:color w:val="auto"/>
              </w:rPr>
            </w:pPr>
            <w:r>
              <w:rPr>
                <w:rFonts w:ascii="Arial" w:cs="Arial" w:eastAsia="Arial" w:hAnsi="Arial"/>
                <w:sz w:val="14"/>
                <w:szCs w:val="14"/>
                <w:b w:val="1"/>
                <w:bCs w:val="1"/>
                <w:color w:val="503C64"/>
              </w:rPr>
              <w:t>Adjusted</w:t>
            </w:r>
          </w:p>
        </w:tc>
      </w:tr>
      <w:tr>
        <w:trPr>
          <w:trHeight w:val="184"/>
        </w:trPr>
        <w:tc>
          <w:tcPr>
            <w:tcW w:w="474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16,290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20" w:type="dxa"/>
            <w:vAlign w:val="bottom"/>
          </w:tcPr>
          <w:p>
            <w:pPr>
              <w:jc w:val="center"/>
              <w:ind w:left="288"/>
              <w:spacing w:after="0"/>
              <w:rPr>
                <w:sz w:val="20"/>
                <w:szCs w:val="20"/>
                <w:color w:val="auto"/>
              </w:rPr>
            </w:pPr>
            <w:r>
              <w:rPr>
                <w:rFonts w:ascii="Arial" w:cs="Arial" w:eastAsia="Arial" w:hAnsi="Arial"/>
                <w:sz w:val="14"/>
                <w:szCs w:val="14"/>
                <w:color w:val="auto"/>
              </w:rPr>
              <w:t xml:space="preserve">(1,165) </w:t>
            </w:r>
            <w:r>
              <w:rPr>
                <w:rFonts w:ascii="Arial" w:cs="Arial" w:eastAsia="Arial" w:hAnsi="Arial"/>
                <w:sz w:val="12"/>
                <w:szCs w:val="12"/>
                <w:color w:val="auto"/>
              </w:rPr>
              <w:t>(1)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15,125</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6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17,805</w:t>
            </w:r>
          </w:p>
        </w:tc>
        <w:tc>
          <w:tcPr>
            <w:tcW w:w="440" w:type="dxa"/>
            <w:vAlign w:val="bottom"/>
          </w:tcPr>
          <w:p>
            <w:pPr>
              <w:spacing w:after="0"/>
              <w:rPr>
                <w:sz w:val="17"/>
                <w:szCs w:val="17"/>
                <w:color w:val="auto"/>
              </w:rPr>
            </w:pPr>
          </w:p>
        </w:tc>
        <w:tc>
          <w:tcPr>
            <w:tcW w:w="2020" w:type="dxa"/>
            <w:vAlign w:val="bottom"/>
          </w:tcPr>
          <w:p>
            <w:pPr>
              <w:jc w:val="center"/>
              <w:ind w:left="328"/>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17,805</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26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14,092</w:t>
            </w:r>
          </w:p>
        </w:tc>
        <w:tc>
          <w:tcPr>
            <w:tcW w:w="440" w:type="dxa"/>
            <w:vAlign w:val="bottom"/>
          </w:tcPr>
          <w:p>
            <w:pPr>
              <w:spacing w:after="0"/>
              <w:rPr>
                <w:sz w:val="17"/>
                <w:szCs w:val="17"/>
                <w:color w:val="auto"/>
              </w:rPr>
            </w:pPr>
          </w:p>
        </w:tc>
        <w:tc>
          <w:tcPr>
            <w:tcW w:w="2020" w:type="dxa"/>
            <w:vAlign w:val="bottom"/>
          </w:tcPr>
          <w:p>
            <w:pPr>
              <w:jc w:val="center"/>
              <w:ind w:left="328"/>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14,092</w:t>
            </w:r>
          </w:p>
        </w:tc>
      </w:tr>
      <w:tr>
        <w:trPr>
          <w:trHeight w:val="189"/>
        </w:trPr>
        <w:tc>
          <w:tcPr>
            <w:tcW w:w="474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6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9,500</w:t>
            </w:r>
          </w:p>
        </w:tc>
        <w:tc>
          <w:tcPr>
            <w:tcW w:w="440" w:type="dxa"/>
            <w:vAlign w:val="bottom"/>
          </w:tcPr>
          <w:p>
            <w:pPr>
              <w:spacing w:after="0"/>
              <w:rPr>
                <w:sz w:val="16"/>
                <w:szCs w:val="16"/>
                <w:color w:val="auto"/>
              </w:rPr>
            </w:pPr>
          </w:p>
        </w:tc>
        <w:tc>
          <w:tcPr>
            <w:tcW w:w="2020" w:type="dxa"/>
            <w:vAlign w:val="bottom"/>
          </w:tcPr>
          <w:p>
            <w:pPr>
              <w:jc w:val="center"/>
              <w:ind w:left="328"/>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9,500</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6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11,190</w:t>
            </w:r>
          </w:p>
        </w:tc>
        <w:tc>
          <w:tcPr>
            <w:tcW w:w="440" w:type="dxa"/>
            <w:vAlign w:val="bottom"/>
          </w:tcPr>
          <w:p>
            <w:pPr>
              <w:spacing w:after="0"/>
              <w:rPr>
                <w:sz w:val="17"/>
                <w:szCs w:val="17"/>
                <w:color w:val="auto"/>
              </w:rPr>
            </w:pPr>
          </w:p>
        </w:tc>
        <w:tc>
          <w:tcPr>
            <w:tcW w:w="2020" w:type="dxa"/>
            <w:vAlign w:val="bottom"/>
          </w:tcPr>
          <w:p>
            <w:pPr>
              <w:jc w:val="center"/>
              <w:ind w:left="328"/>
              <w:spacing w:after="0"/>
              <w:rPr>
                <w:sz w:val="20"/>
                <w:szCs w:val="20"/>
                <w:color w:val="auto"/>
              </w:rPr>
            </w:pPr>
            <w:r>
              <w:rPr>
                <w:rFonts w:ascii="Arial" w:cs="Arial" w:eastAsia="Arial" w:hAnsi="Arial"/>
                <w:sz w:val="14"/>
                <w:szCs w:val="14"/>
                <w:color w:val="auto"/>
                <w:w w:val="99"/>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11,190</w:t>
            </w:r>
          </w:p>
        </w:tc>
      </w:tr>
      <w:tr>
        <w:trPr>
          <w:trHeight w:val="228"/>
        </w:trPr>
        <w:tc>
          <w:tcPr>
            <w:tcW w:w="47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B6B6B6"/>
            </w:tcBorders>
          </w:tcPr>
          <w:p>
            <w:pPr>
              <w:spacing w:after="0"/>
              <w:rPr>
                <w:sz w:val="19"/>
                <w:szCs w:val="19"/>
                <w:color w:val="auto"/>
              </w:rPr>
            </w:pPr>
          </w:p>
        </w:tc>
        <w:tc>
          <w:tcPr>
            <w:tcW w:w="134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6,474</w:t>
            </w:r>
          </w:p>
        </w:tc>
        <w:tc>
          <w:tcPr>
            <w:tcW w:w="440" w:type="dxa"/>
            <w:vAlign w:val="bottom"/>
            <w:tcBorders>
              <w:bottom w:val="single" w:sz="8" w:color="B6B6B6"/>
            </w:tcBorders>
          </w:tcPr>
          <w:p>
            <w:pPr>
              <w:spacing w:after="0"/>
              <w:rPr>
                <w:sz w:val="19"/>
                <w:szCs w:val="19"/>
                <w:color w:val="auto"/>
              </w:rPr>
            </w:pPr>
          </w:p>
        </w:tc>
        <w:tc>
          <w:tcPr>
            <w:tcW w:w="2020" w:type="dxa"/>
            <w:vAlign w:val="bottom"/>
            <w:tcBorders>
              <w:bottom w:val="single" w:sz="8" w:color="B6B6B6"/>
            </w:tcBorders>
          </w:tcPr>
          <w:p>
            <w:pPr>
              <w:jc w:val="center"/>
              <w:ind w:left="288"/>
              <w:spacing w:after="0"/>
              <w:rPr>
                <w:sz w:val="20"/>
                <w:szCs w:val="20"/>
                <w:color w:val="auto"/>
              </w:rPr>
            </w:pPr>
            <w:r>
              <w:rPr>
                <w:rFonts w:ascii="Arial" w:cs="Arial" w:eastAsia="Arial" w:hAnsi="Arial"/>
                <w:sz w:val="14"/>
                <w:szCs w:val="14"/>
                <w:color w:val="auto"/>
              </w:rPr>
              <w:t xml:space="preserve">(3,290) </w:t>
            </w:r>
            <w:r>
              <w:rPr>
                <w:rFonts w:ascii="Arial" w:cs="Arial" w:eastAsia="Arial" w:hAnsi="Arial"/>
                <w:sz w:val="12"/>
                <w:szCs w:val="12"/>
                <w:color w:val="auto"/>
              </w:rPr>
              <w:t>(2)</w:t>
            </w:r>
          </w:p>
        </w:tc>
        <w:tc>
          <w:tcPr>
            <w:tcW w:w="360" w:type="dxa"/>
            <w:vAlign w:val="bottom"/>
            <w:tcBorders>
              <w:bottom w:val="single" w:sz="8" w:color="B6B6B6"/>
            </w:tcBorders>
          </w:tcPr>
          <w:p>
            <w:pPr>
              <w:spacing w:after="0"/>
              <w:rPr>
                <w:sz w:val="19"/>
                <w:szCs w:val="19"/>
                <w:color w:val="auto"/>
              </w:rPr>
            </w:pP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3,184</w:t>
            </w:r>
          </w:p>
        </w:tc>
      </w:tr>
      <w:tr>
        <w:trPr>
          <w:trHeight w:val="194"/>
        </w:trPr>
        <w:tc>
          <w:tcPr>
            <w:tcW w:w="474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75,351</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628"/>
              <w:spacing w:after="0"/>
              <w:rPr>
                <w:sz w:val="20"/>
                <w:szCs w:val="20"/>
                <w:color w:val="auto"/>
              </w:rPr>
            </w:pPr>
            <w:r>
              <w:rPr>
                <w:rFonts w:ascii="Arial" w:cs="Arial" w:eastAsia="Arial" w:hAnsi="Arial"/>
                <w:sz w:val="14"/>
                <w:szCs w:val="14"/>
                <w:color w:val="auto"/>
              </w:rPr>
              <w:t>(4,455)</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70,896</w:t>
            </w:r>
          </w:p>
        </w:tc>
      </w:tr>
    </w:tbl>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1"/>
        </w:trPr>
        <w:tc>
          <w:tcPr>
            <w:tcW w:w="4740" w:type="dxa"/>
            <w:vAlign w:val="bottom"/>
          </w:tcPr>
          <w:p>
            <w:pPr>
              <w:spacing w:after="0"/>
              <w:rPr>
                <w:sz w:val="17"/>
                <w:szCs w:val="17"/>
                <w:color w:val="auto"/>
              </w:rPr>
            </w:pPr>
          </w:p>
        </w:tc>
        <w:tc>
          <w:tcPr>
            <w:tcW w:w="260" w:type="dxa"/>
            <w:vAlign w:val="bottom"/>
            <w:tcBorders>
              <w:bottom w:val="single" w:sz="8" w:color="B6B6B6"/>
            </w:tcBorders>
          </w:tcPr>
          <w:p>
            <w:pPr>
              <w:spacing w:after="0"/>
              <w:rPr>
                <w:sz w:val="17"/>
                <w:szCs w:val="17"/>
                <w:color w:val="auto"/>
              </w:rPr>
            </w:pPr>
          </w:p>
        </w:tc>
        <w:tc>
          <w:tcPr>
            <w:tcW w:w="1340" w:type="dxa"/>
            <w:vAlign w:val="bottom"/>
            <w:tcBorders>
              <w:bottom w:val="single" w:sz="8" w:color="B6B6B6"/>
            </w:tcBorders>
          </w:tcPr>
          <w:p>
            <w:pPr>
              <w:spacing w:after="0"/>
              <w:rPr>
                <w:sz w:val="17"/>
                <w:szCs w:val="17"/>
                <w:color w:val="auto"/>
              </w:rPr>
            </w:pPr>
          </w:p>
        </w:tc>
        <w:tc>
          <w:tcPr>
            <w:tcW w:w="2460" w:type="dxa"/>
            <w:vAlign w:val="bottom"/>
            <w:tcBorders>
              <w:bottom w:val="single" w:sz="8" w:color="B6B6B6"/>
            </w:tcBorders>
            <w:gridSpan w:val="2"/>
          </w:tcPr>
          <w:p>
            <w:pPr>
              <w:jc w:val="right"/>
              <w:ind w:right="48"/>
              <w:spacing w:after="0"/>
              <w:rPr>
                <w:sz w:val="20"/>
                <w:szCs w:val="20"/>
                <w:color w:val="auto"/>
              </w:rPr>
            </w:pPr>
            <w:r>
              <w:rPr>
                <w:rFonts w:ascii="Arial" w:cs="Arial" w:eastAsia="Arial" w:hAnsi="Arial"/>
                <w:sz w:val="14"/>
                <w:szCs w:val="14"/>
                <w:b w:val="1"/>
                <w:bCs w:val="1"/>
                <w:color w:val="503C64"/>
              </w:rPr>
              <w:t>Six Months Ended June 30, 2022</w:t>
            </w: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spacing w:after="0"/>
              <w:rPr>
                <w:sz w:val="17"/>
                <w:szCs w:val="17"/>
                <w:color w:val="auto"/>
              </w:rPr>
            </w:pPr>
          </w:p>
        </w:tc>
      </w:tr>
      <w:tr>
        <w:trPr>
          <w:trHeight w:val="183"/>
        </w:trPr>
        <w:tc>
          <w:tcPr>
            <w:tcW w:w="4740" w:type="dxa"/>
            <w:vAlign w:val="bottom"/>
            <w:tcBorders>
              <w:bottom w:val="single" w:sz="8" w:color="B6B6B6"/>
            </w:tcBorders>
          </w:tcPr>
          <w:p>
            <w:pPr>
              <w:spacing w:after="0"/>
              <w:rPr>
                <w:sz w:val="15"/>
                <w:szCs w:val="15"/>
                <w:color w:val="auto"/>
              </w:rPr>
            </w:pPr>
          </w:p>
        </w:tc>
        <w:tc>
          <w:tcPr>
            <w:tcW w:w="260" w:type="dxa"/>
            <w:vAlign w:val="bottom"/>
            <w:tcBorders>
              <w:bottom w:val="single" w:sz="8" w:color="B6B6B6"/>
            </w:tcBorders>
          </w:tcPr>
          <w:p>
            <w:pPr>
              <w:spacing w:after="0"/>
              <w:rPr>
                <w:sz w:val="15"/>
                <w:szCs w:val="15"/>
                <w:color w:val="auto"/>
              </w:rPr>
            </w:pPr>
          </w:p>
        </w:tc>
        <w:tc>
          <w:tcPr>
            <w:tcW w:w="1340" w:type="dxa"/>
            <w:vAlign w:val="bottom"/>
            <w:tcBorders>
              <w:bottom w:val="single" w:sz="8" w:color="B6B6B6"/>
            </w:tcBorders>
          </w:tcPr>
          <w:p>
            <w:pPr>
              <w:jc w:val="right"/>
              <w:ind w:right="388"/>
              <w:spacing w:after="0"/>
              <w:rPr>
                <w:sz w:val="20"/>
                <w:szCs w:val="20"/>
                <w:color w:val="auto"/>
              </w:rPr>
            </w:pPr>
            <w:r>
              <w:rPr>
                <w:rFonts w:ascii="Arial" w:cs="Arial" w:eastAsia="Arial" w:hAnsi="Arial"/>
                <w:sz w:val="14"/>
                <w:szCs w:val="14"/>
                <w:b w:val="1"/>
                <w:bCs w:val="1"/>
                <w:color w:val="503C64"/>
              </w:rPr>
              <w:t>U.S. GAAP</w:t>
            </w:r>
          </w:p>
        </w:tc>
        <w:tc>
          <w:tcPr>
            <w:tcW w:w="440" w:type="dxa"/>
            <w:vAlign w:val="bottom"/>
            <w:tcBorders>
              <w:bottom w:val="single" w:sz="8" w:color="B6B6B6"/>
            </w:tcBorders>
          </w:tcPr>
          <w:p>
            <w:pPr>
              <w:spacing w:after="0"/>
              <w:rPr>
                <w:sz w:val="15"/>
                <w:szCs w:val="15"/>
                <w:color w:val="auto"/>
              </w:rPr>
            </w:pPr>
          </w:p>
        </w:tc>
        <w:tc>
          <w:tcPr>
            <w:tcW w:w="2020" w:type="dxa"/>
            <w:vAlign w:val="bottom"/>
            <w:tcBorders>
              <w:bottom w:val="single" w:sz="8" w:color="B6B6B6"/>
            </w:tcBorders>
          </w:tcPr>
          <w:p>
            <w:pPr>
              <w:jc w:val="right"/>
              <w:ind w:right="948"/>
              <w:spacing w:after="0"/>
              <w:rPr>
                <w:sz w:val="20"/>
                <w:szCs w:val="20"/>
                <w:color w:val="auto"/>
              </w:rPr>
            </w:pPr>
            <w:r>
              <w:rPr>
                <w:rFonts w:ascii="Arial" w:cs="Arial" w:eastAsia="Arial" w:hAnsi="Arial"/>
                <w:sz w:val="14"/>
                <w:szCs w:val="14"/>
                <w:b w:val="1"/>
                <w:bCs w:val="1"/>
                <w:color w:val="503C64"/>
              </w:rPr>
              <w:t>Adjustments</w:t>
            </w:r>
          </w:p>
        </w:tc>
        <w:tc>
          <w:tcPr>
            <w:tcW w:w="360" w:type="dxa"/>
            <w:vAlign w:val="bottom"/>
            <w:tcBorders>
              <w:bottom w:val="single" w:sz="8" w:color="B6B6B6"/>
            </w:tcBorders>
          </w:tcPr>
          <w:p>
            <w:pPr>
              <w:spacing w:after="0"/>
              <w:rPr>
                <w:sz w:val="15"/>
                <w:szCs w:val="15"/>
                <w:color w:val="auto"/>
              </w:rPr>
            </w:pPr>
          </w:p>
        </w:tc>
        <w:tc>
          <w:tcPr>
            <w:tcW w:w="1240" w:type="dxa"/>
            <w:vAlign w:val="bottom"/>
            <w:tcBorders>
              <w:bottom w:val="single" w:sz="8" w:color="B6B6B6"/>
            </w:tcBorders>
          </w:tcPr>
          <w:p>
            <w:pPr>
              <w:jc w:val="right"/>
              <w:ind w:right="368"/>
              <w:spacing w:after="0"/>
              <w:rPr>
                <w:sz w:val="20"/>
                <w:szCs w:val="20"/>
                <w:color w:val="auto"/>
              </w:rPr>
            </w:pPr>
            <w:r>
              <w:rPr>
                <w:rFonts w:ascii="Arial" w:cs="Arial" w:eastAsia="Arial" w:hAnsi="Arial"/>
                <w:sz w:val="14"/>
                <w:szCs w:val="14"/>
                <w:b w:val="1"/>
                <w:bCs w:val="1"/>
                <w:color w:val="503C64"/>
              </w:rPr>
              <w:t>Adjusted</w:t>
            </w:r>
          </w:p>
        </w:tc>
      </w:tr>
      <w:tr>
        <w:trPr>
          <w:trHeight w:val="184"/>
        </w:trPr>
        <w:tc>
          <w:tcPr>
            <w:tcW w:w="474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17,722</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428"/>
              <w:spacing w:after="0"/>
              <w:rPr>
                <w:sz w:val="20"/>
                <w:szCs w:val="20"/>
                <w:color w:val="auto"/>
              </w:rPr>
            </w:pPr>
            <w:r>
              <w:rPr>
                <w:rFonts w:ascii="Arial" w:cs="Arial" w:eastAsia="Arial" w:hAnsi="Arial"/>
                <w:sz w:val="14"/>
                <w:szCs w:val="14"/>
                <w:color w:val="auto"/>
              </w:rPr>
              <w:t xml:space="preserve">(714) </w:t>
            </w:r>
            <w:r>
              <w:rPr>
                <w:rFonts w:ascii="Arial" w:cs="Arial" w:eastAsia="Arial" w:hAnsi="Arial"/>
                <w:sz w:val="12"/>
                <w:szCs w:val="12"/>
                <w:color w:val="auto"/>
              </w:rPr>
              <w:t>(1)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17,008</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26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15,077</w:t>
            </w:r>
          </w:p>
        </w:tc>
        <w:tc>
          <w:tcPr>
            <w:tcW w:w="440" w:type="dxa"/>
            <w:vAlign w:val="bottom"/>
          </w:tcPr>
          <w:p>
            <w:pPr>
              <w:spacing w:after="0"/>
              <w:rPr>
                <w:sz w:val="17"/>
                <w:szCs w:val="17"/>
                <w:color w:val="auto"/>
              </w:rPr>
            </w:pPr>
          </w:p>
        </w:tc>
        <w:tc>
          <w:tcPr>
            <w:tcW w:w="20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15,077</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26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11,107</w:t>
            </w:r>
          </w:p>
        </w:tc>
        <w:tc>
          <w:tcPr>
            <w:tcW w:w="440" w:type="dxa"/>
            <w:vAlign w:val="bottom"/>
          </w:tcPr>
          <w:p>
            <w:pPr>
              <w:spacing w:after="0"/>
              <w:rPr>
                <w:sz w:val="17"/>
                <w:szCs w:val="17"/>
                <w:color w:val="auto"/>
              </w:rPr>
            </w:pPr>
          </w:p>
        </w:tc>
        <w:tc>
          <w:tcPr>
            <w:tcW w:w="20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11,107</w:t>
            </w:r>
          </w:p>
        </w:tc>
      </w:tr>
      <w:tr>
        <w:trPr>
          <w:trHeight w:val="189"/>
        </w:trPr>
        <w:tc>
          <w:tcPr>
            <w:tcW w:w="474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26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5,935</w:t>
            </w:r>
          </w:p>
        </w:tc>
        <w:tc>
          <w:tcPr>
            <w:tcW w:w="440" w:type="dxa"/>
            <w:vAlign w:val="bottom"/>
          </w:tcPr>
          <w:p>
            <w:pPr>
              <w:spacing w:after="0"/>
              <w:rPr>
                <w:sz w:val="16"/>
                <w:szCs w:val="16"/>
                <w:color w:val="auto"/>
              </w:rPr>
            </w:pPr>
          </w:p>
        </w:tc>
        <w:tc>
          <w:tcPr>
            <w:tcW w:w="20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5,935</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260" w:type="dxa"/>
            <w:vAlign w:val="bottom"/>
          </w:tcPr>
          <w:p>
            <w:pPr>
              <w:spacing w:after="0"/>
              <w:rPr>
                <w:sz w:val="17"/>
                <w:szCs w:val="17"/>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11,766</w:t>
            </w:r>
          </w:p>
        </w:tc>
        <w:tc>
          <w:tcPr>
            <w:tcW w:w="440" w:type="dxa"/>
            <w:vAlign w:val="bottom"/>
          </w:tcPr>
          <w:p>
            <w:pPr>
              <w:spacing w:after="0"/>
              <w:rPr>
                <w:sz w:val="17"/>
                <w:szCs w:val="17"/>
                <w:color w:val="auto"/>
              </w:rPr>
            </w:pPr>
          </w:p>
        </w:tc>
        <w:tc>
          <w:tcPr>
            <w:tcW w:w="20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11,766</w:t>
            </w:r>
          </w:p>
        </w:tc>
      </w:tr>
      <w:tr>
        <w:trPr>
          <w:trHeight w:val="201"/>
        </w:trPr>
        <w:tc>
          <w:tcPr>
            <w:tcW w:w="474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B6B6B6"/>
            </w:tcBorders>
          </w:tcPr>
          <w:p>
            <w:pPr>
              <w:spacing w:after="0"/>
              <w:rPr>
                <w:sz w:val="17"/>
                <w:szCs w:val="17"/>
                <w:color w:val="auto"/>
              </w:rPr>
            </w:pPr>
          </w:p>
        </w:tc>
        <w:tc>
          <w:tcPr>
            <w:tcW w:w="134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5,596</w:t>
            </w:r>
          </w:p>
        </w:tc>
        <w:tc>
          <w:tcPr>
            <w:tcW w:w="440" w:type="dxa"/>
            <w:vAlign w:val="bottom"/>
            <w:tcBorders>
              <w:bottom w:val="single" w:sz="8" w:color="B6B6B6"/>
            </w:tcBorders>
          </w:tcPr>
          <w:p>
            <w:pPr>
              <w:spacing w:after="0"/>
              <w:rPr>
                <w:sz w:val="17"/>
                <w:szCs w:val="17"/>
                <w:color w:val="auto"/>
              </w:rPr>
            </w:pPr>
          </w:p>
        </w:tc>
        <w:tc>
          <w:tcPr>
            <w:tcW w:w="2020" w:type="dxa"/>
            <w:vAlign w:val="bottom"/>
            <w:tcBorders>
              <w:bottom w:val="single" w:sz="8" w:color="B6B6B6"/>
            </w:tcBorders>
          </w:tcPr>
          <w:p>
            <w:pPr>
              <w:jc w:val="right"/>
              <w:ind w:right="428"/>
              <w:spacing w:after="0"/>
              <w:rPr>
                <w:sz w:val="20"/>
                <w:szCs w:val="20"/>
                <w:color w:val="auto"/>
              </w:rPr>
            </w:pPr>
            <w:r>
              <w:rPr>
                <w:rFonts w:ascii="Arial" w:cs="Arial" w:eastAsia="Arial" w:hAnsi="Arial"/>
                <w:sz w:val="14"/>
                <w:szCs w:val="14"/>
                <w:color w:val="auto"/>
              </w:rPr>
              <w:t xml:space="preserve">(3,290) </w:t>
            </w:r>
            <w:r>
              <w:rPr>
                <w:rFonts w:ascii="Arial" w:cs="Arial" w:eastAsia="Arial" w:hAnsi="Arial"/>
                <w:sz w:val="12"/>
                <w:szCs w:val="12"/>
                <w:color w:val="auto"/>
              </w:rPr>
              <w:t>(2)</w:t>
            </w:r>
          </w:p>
        </w:tc>
        <w:tc>
          <w:tcPr>
            <w:tcW w:w="360" w:type="dxa"/>
            <w:vAlign w:val="bottom"/>
            <w:tcBorders>
              <w:bottom w:val="single" w:sz="8" w:color="B6B6B6"/>
            </w:tcBorders>
          </w:tcPr>
          <w:p>
            <w:pPr>
              <w:spacing w:after="0"/>
              <w:rPr>
                <w:sz w:val="17"/>
                <w:szCs w:val="17"/>
                <w:color w:val="auto"/>
              </w:rPr>
            </w:pPr>
          </w:p>
        </w:tc>
        <w:tc>
          <w:tcPr>
            <w:tcW w:w="12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2,306</w:t>
            </w:r>
          </w:p>
        </w:tc>
      </w:tr>
      <w:tr>
        <w:trPr>
          <w:trHeight w:val="194"/>
        </w:trPr>
        <w:tc>
          <w:tcPr>
            <w:tcW w:w="474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67,203</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628"/>
              <w:spacing w:after="0"/>
              <w:rPr>
                <w:sz w:val="20"/>
                <w:szCs w:val="20"/>
                <w:color w:val="auto"/>
              </w:rPr>
            </w:pPr>
            <w:r>
              <w:rPr>
                <w:rFonts w:ascii="Arial" w:cs="Arial" w:eastAsia="Arial" w:hAnsi="Arial"/>
                <w:sz w:val="14"/>
                <w:szCs w:val="14"/>
                <w:color w:val="auto"/>
              </w:rPr>
              <w:t>(4,004)</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63,199</w:t>
            </w:r>
          </w:p>
        </w:tc>
      </w:tr>
    </w:tbl>
    <w:p>
      <w:pPr>
        <w:spacing w:after="0" w:line="285" w:lineRule="exact"/>
        <w:rPr>
          <w:sz w:val="20"/>
          <w:szCs w:val="20"/>
          <w:color w:val="auto"/>
        </w:rPr>
      </w:pPr>
    </w:p>
    <w:p>
      <w:pPr>
        <w:ind w:left="360" w:hanging="186"/>
        <w:spacing w:after="0"/>
        <w:tabs>
          <w:tab w:leader="none" w:pos="360" w:val="left"/>
        </w:tabs>
        <w:numPr>
          <w:ilvl w:val="1"/>
          <w:numId w:val="21"/>
        </w:numPr>
        <w:rPr>
          <w:rFonts w:ascii="Arial" w:cs="Arial" w:eastAsia="Arial" w:hAnsi="Arial"/>
          <w:sz w:val="13"/>
          <w:szCs w:val="13"/>
          <w:color w:val="auto"/>
        </w:rPr>
      </w:pPr>
      <w:r>
        <w:rPr>
          <w:rFonts w:ascii="Arial" w:cs="Arial" w:eastAsia="Arial" w:hAnsi="Arial"/>
          <w:sz w:val="13"/>
          <w:szCs w:val="13"/>
          <w:color w:val="auto"/>
        </w:rPr>
        <w:t>Reflects an adjustment to exclude transaction costs associated with the Business Combination.</w:t>
      </w:r>
    </w:p>
    <w:p>
      <w:pPr>
        <w:spacing w:after="0" w:line="215" w:lineRule="exact"/>
        <w:rPr>
          <w:rFonts w:ascii="Arial" w:cs="Arial" w:eastAsia="Arial" w:hAnsi="Arial"/>
          <w:sz w:val="13"/>
          <w:szCs w:val="13"/>
          <w:color w:val="auto"/>
        </w:rPr>
      </w:pPr>
    </w:p>
    <w:p>
      <w:pPr>
        <w:ind w:left="360" w:hanging="186"/>
        <w:spacing w:after="0"/>
        <w:tabs>
          <w:tab w:leader="none" w:pos="360" w:val="left"/>
        </w:tabs>
        <w:numPr>
          <w:ilvl w:val="1"/>
          <w:numId w:val="21"/>
        </w:numPr>
        <w:rPr>
          <w:rFonts w:ascii="Arial" w:cs="Arial" w:eastAsia="Arial" w:hAnsi="Arial"/>
          <w:sz w:val="13"/>
          <w:szCs w:val="13"/>
          <w:color w:val="auto"/>
        </w:rPr>
      </w:pPr>
      <w:r>
        <w:rPr>
          <w:rFonts w:ascii="Arial" w:cs="Arial" w:eastAsia="Arial" w:hAnsi="Arial"/>
          <w:sz w:val="13"/>
          <w:szCs w:val="13"/>
          <w:color w:val="auto"/>
        </w:rPr>
        <w:t>Reflects an adjustment to exclude the amortization of intangible assets related to the TPH business combination.</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25" w:lineRule="exact"/>
        <w:rPr>
          <w:rFonts w:ascii="Arial" w:cs="Arial" w:eastAsia="Arial" w:hAnsi="Arial"/>
          <w:sz w:val="13"/>
          <w:szCs w:val="13"/>
          <w:color w:val="auto"/>
        </w:rPr>
      </w:pPr>
    </w:p>
    <w:p>
      <w:pPr>
        <w:jc w:val="both"/>
        <w:spacing w:after="0" w:line="257" w:lineRule="auto"/>
        <w:rPr>
          <w:rFonts w:ascii="Arial" w:cs="Arial" w:eastAsia="Arial" w:hAnsi="Arial"/>
          <w:sz w:val="13"/>
          <w:szCs w:val="13"/>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5"/>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2023-08-03T07:13:07Z</dcterms:created>
  <dcterms:modified xsi:type="dcterms:W3CDTF">2023-08-03T07:13:07Z</dcterms:modified>
</cp:coreProperties>
</file>