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NOTIFICATION OF LATE FILING</w:t>
      </w:r>
    </w:p>
    <w:p>
      <w:pPr>
        <w:spacing w:after="0" w:line="19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(Check one):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u w:val="single" w:color="auto"/>
          <w:color w:val="auto"/>
        </w:rPr>
        <w:t>March 31, 2021</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0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Ended: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wp:posOffset>
            </wp:positionH>
            <wp:positionV relativeFrom="paragraph">
              <wp:posOffset>154305</wp:posOffset>
            </wp:positionV>
            <wp:extent cx="6716395" cy="338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6395" cy="338455"/>
                    </a:xfrm>
                    <a:prstGeom prst="rect">
                      <a:avLst/>
                    </a:prstGeom>
                    <a:noFill/>
                  </pic:spPr>
                </pic:pic>
              </a:graphicData>
            </a:graphic>
          </wp:anchor>
        </w:drawing>
      </w:r>
    </w:p>
    <w:p>
      <w:pPr>
        <w:spacing w:after="0" w:line="259" w:lineRule="exact"/>
        <w:rPr>
          <w:sz w:val="24"/>
          <w:szCs w:val="24"/>
          <w:color w:val="auto"/>
        </w:rPr>
      </w:pPr>
    </w:p>
    <w:p>
      <w:pPr>
        <w:ind w:left="72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ind w:left="720"/>
        <w:spacing w:after="0"/>
        <w:rPr>
          <w:sz w:val="20"/>
          <w:szCs w:val="20"/>
          <w:color w:val="auto"/>
        </w:rPr>
      </w:pPr>
      <w:r>
        <w:rPr>
          <w:rFonts w:ascii="Arial" w:cs="Arial" w:eastAsia="Arial" w:hAnsi="Arial"/>
          <w:sz w:val="17"/>
          <w:szCs w:val="17"/>
          <w:b w:val="1"/>
          <w:bCs w:val="1"/>
          <w:i w:val="1"/>
          <w:iCs w:val="1"/>
          <w:color w:val="auto"/>
        </w:rPr>
        <w:t>Nothing in this form shall be construed to imply that the Commission has verified any information contained herein.</w:t>
      </w:r>
    </w:p>
    <w:p>
      <w:pPr>
        <w:spacing w:after="0" w:line="276" w:lineRule="exact"/>
        <w:rPr>
          <w:sz w:val="24"/>
          <w:szCs w:val="24"/>
          <w:color w:val="auto"/>
        </w:rPr>
      </w:pPr>
    </w:p>
    <w:p>
      <w:pPr>
        <w:jc w:val="center"/>
        <w:ind w:right="-659"/>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 Not applicable</w:t>
      </w:r>
    </w:p>
    <w:p>
      <w:pPr>
        <w:spacing w:after="0" w:line="244"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FinTech Acquisition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2929 Arch Street, Suite 1703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Philadelphia, PA 19104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320" w:top="513" w:right="131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386" w:lineRule="exact"/>
        <w:rPr>
          <w:sz w:val="20"/>
          <w:szCs w:val="20"/>
          <w:color w:val="auto"/>
        </w:rPr>
      </w:pPr>
    </w:p>
    <w:p>
      <w:pPr>
        <w:ind w:left="800" w:hanging="333"/>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225" w:lineRule="exact"/>
        <w:rPr>
          <w:rFonts w:ascii="Arial" w:cs="Arial" w:eastAsia="Arial" w:hAnsi="Arial"/>
          <w:sz w:val="18"/>
          <w:szCs w:val="18"/>
          <w:color w:val="auto"/>
        </w:rPr>
      </w:pPr>
    </w:p>
    <w:p>
      <w:pPr>
        <w:ind w:left="800" w:right="120" w:hanging="792"/>
        <w:spacing w:after="0" w:line="259" w:lineRule="auto"/>
        <w:tabs>
          <w:tab w:leader="none" w:pos="46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 The subject annual report, semi-annual report, transition report on Form 10-K, Form 20-F,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6" w:lineRule="exact"/>
        <w:rPr>
          <w:rFonts w:ascii="MS PGothic" w:cs="MS PGothic" w:eastAsia="MS PGothic" w:hAnsi="MS PGothic"/>
          <w:sz w:val="18"/>
          <w:szCs w:val="18"/>
          <w:color w:val="auto"/>
        </w:rPr>
      </w:pPr>
    </w:p>
    <w:p>
      <w:pPr>
        <w:ind w:left="800" w:hanging="333"/>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FinTech Acquisition Corp. IV (the “Company”) has determined that it is unable, without unreasonable effort or expense, to file its Quarterly Report on Form 10-Q for the quarterly period ended March 31, 2021 (the “Q1 2021 Form 10-Q”) by the prescribed filing date due to the reasons described below.</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working diligently to complete the Q1 2021 Form 10-Q as soon as possible; however, given the scope of the process for evaluating the impact on the Company’s financial statements of the Staff Statement on Accounting and Reporting Considerations for Warrants Issued by Special Purpose Acquisition Companies (“SPACs”) issued by the staff of the Securities and Exchange Commission on April 12, 2021, the Company is unable to complete and file the Q1 2021 Form 10-Q by the required due date of May 17, 2021 without unreasonable effort and expense. The Company does, however, expect to file such report within five calendar days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included in this notification on Form 12b-25, which are not historical facts, are forward-looking statements. Such forward-looking statements speak only as of the date of this notification. These forward-looking statements can be identified by the use of forward-looking terminology, including the words “expects,” “may,” “will,” “projects,” or “should,” or, in each case, their negative or other variations or comparable terminology. There can be no assurance that actual results will not materially differ from expectations. Such statements include, but are not limited to, any statements relating to our ability to consummate any acquisition or other business combination and any other statements that are not statements of current or historical facts. These statements are based on management’s current expectations, but actual results may differ materially due to various factors, including, but not limited to, a variety of risk factors affecting the Company’s business and prospects disclosed in the Company’s annual, quarterly reports and subsequent reports filed with the SEC, as amended from time to time. The forward-looking statements contained in this Current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Company’s annual, quarterly reports and subsequent reports filed with the SEC, as amended from time to time.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“Risk Factors” in the Company’s annual, quarterly reports and subsequent reports filed with the SEC, as amended from time to time may not be exhaustive.</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PART IV - OTHER INFORMATION</w:t>
            </w:r>
          </w:p>
        </w:tc>
        <w:tc>
          <w:tcPr>
            <w:tcW w:w="3600" w:type="dxa"/>
            <w:vAlign w:val="bottom"/>
          </w:tcPr>
          <w:p>
            <w:pPr>
              <w:spacing w:after="0"/>
              <w:rPr>
                <w:sz w:val="20"/>
                <w:szCs w:val="20"/>
                <w:color w:val="auto"/>
              </w:rPr>
            </w:pPr>
          </w:p>
        </w:tc>
      </w:tr>
      <w:tr>
        <w:trPr>
          <w:trHeight w:val="432"/>
        </w:trPr>
        <w:tc>
          <w:tcPr>
            <w:tcW w:w="7640" w:type="dxa"/>
            <w:vAlign w:val="bottom"/>
            <w:gridSpan w:val="4"/>
          </w:tcPr>
          <w:p>
            <w:pPr>
              <w:spacing w:after="0"/>
              <w:rPr>
                <w:sz w:val="20"/>
                <w:szCs w:val="20"/>
                <w:color w:val="auto"/>
              </w:rPr>
            </w:pPr>
            <w:r>
              <w:rPr>
                <w:rFonts w:ascii="Arial" w:cs="Arial" w:eastAsia="Arial" w:hAnsi="Arial"/>
                <w:sz w:val="18"/>
                <w:szCs w:val="18"/>
                <w:color w:val="auto"/>
              </w:rPr>
              <w:t>(l) Name and telephone number of person to contact in regard to this notification:</w:t>
            </w:r>
          </w:p>
        </w:tc>
        <w:tc>
          <w:tcPr>
            <w:tcW w:w="3600" w:type="dxa"/>
            <w:vAlign w:val="bottom"/>
          </w:tcPr>
          <w:p>
            <w:pPr>
              <w:spacing w:after="0"/>
              <w:rPr>
                <w:sz w:val="24"/>
                <w:szCs w:val="24"/>
                <w:color w:val="auto"/>
              </w:rPr>
            </w:pPr>
          </w:p>
        </w:tc>
      </w:tr>
      <w:tr>
        <w:trPr>
          <w:trHeight w:val="452"/>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Douglas Listman</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215</w:t>
            </w:r>
          </w:p>
        </w:tc>
        <w:tc>
          <w:tcPr>
            <w:tcW w:w="200" w:type="dxa"/>
            <w:vAlign w:val="bottom"/>
          </w:tcPr>
          <w:p>
            <w:pPr>
              <w:spacing w:after="0"/>
              <w:rPr>
                <w:sz w:val="24"/>
                <w:szCs w:val="24"/>
                <w:color w:val="auto"/>
              </w:rPr>
            </w:pPr>
          </w:p>
        </w:tc>
        <w:tc>
          <w:tcPr>
            <w:tcW w:w="3600" w:type="dxa"/>
            <w:vAlign w:val="bottom"/>
          </w:tcPr>
          <w:p>
            <w:pPr>
              <w:jc w:val="right"/>
              <w:ind w:right="1370"/>
              <w:spacing w:after="0"/>
              <w:rPr>
                <w:sz w:val="20"/>
                <w:szCs w:val="20"/>
                <w:color w:val="auto"/>
              </w:rPr>
            </w:pPr>
            <w:r>
              <w:rPr>
                <w:rFonts w:ascii="Arial" w:cs="Arial" w:eastAsia="Arial" w:hAnsi="Arial"/>
                <w:sz w:val="18"/>
                <w:szCs w:val="18"/>
                <w:color w:val="auto"/>
              </w:rPr>
              <w:t>701-9555</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ind w:firstLine="8"/>
        <w:spacing w:after="0" w:line="26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51" w:lineRule="exact"/>
        <w:rPr>
          <w:sz w:val="20"/>
          <w:szCs w:val="20"/>
          <w:color w:val="auto"/>
        </w:rPr>
      </w:pPr>
    </w:p>
    <w:p>
      <w:pPr>
        <w:ind w:left="200" w:hanging="192"/>
        <w:spacing w:after="0" w:line="207" w:lineRule="exact"/>
        <w:tabs>
          <w:tab w:leader="none" w:pos="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38" w:lineRule="exact"/>
        <w:rPr>
          <w:sz w:val="20"/>
          <w:szCs w:val="20"/>
          <w:color w:val="auto"/>
        </w:rPr>
      </w:pPr>
    </w:p>
    <w:p>
      <w:pPr>
        <w:ind w:left="200" w:hanging="192"/>
        <w:spacing w:after="0" w:line="207" w:lineRule="exact"/>
        <w:tabs>
          <w:tab w:leader="none" w:pos="2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100"/>
        <w:spacing w:after="0"/>
        <w:rPr>
          <w:sz w:val="20"/>
          <w:szCs w:val="20"/>
          <w:color w:val="auto"/>
        </w:rPr>
      </w:pPr>
      <w:r>
        <w:rPr>
          <w:rFonts w:ascii="Arial" w:cs="Arial" w:eastAsia="Arial" w:hAnsi="Arial"/>
          <w:sz w:val="18"/>
          <w:szCs w:val="18"/>
          <w:b w:val="1"/>
          <w:bCs w:val="1"/>
          <w:u w:val="single" w:color="auto"/>
          <w:color w:val="auto"/>
        </w:rPr>
        <w:t>FinTech Acquisition Corp. IV</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Listman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lvl w:ilvl="1">
      <w:lvlJc w:val="left"/>
      <w:lvlText w:val="(%2)"/>
      <w:numFmt w:val="lowerLetter"/>
      <w:start w:val="3"/>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2021-05-18T15:50:30Z</dcterms:created>
  <dcterms:modified xsi:type="dcterms:W3CDTF">2021-05-18T15:50:30Z</dcterms:modified>
</cp:coreProperties>
</file>