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PERELLA WEINBERG PARTNERS</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38" w:lineRule="auto"/>
        <w:rPr>
          <w:sz w:val="20"/>
          <w:szCs w:val="20"/>
          <w:color w:val="auto"/>
        </w:rPr>
      </w:pPr>
      <w:r>
        <w:rPr>
          <w:rFonts w:ascii="Courier New" w:cs="Courier New" w:eastAsia="Courier New" w:hAnsi="Courier New"/>
          <w:sz w:val="18"/>
          <w:szCs w:val="18"/>
          <w:color w:val="auto"/>
        </w:rPr>
        <w:t>Cusip #71367G102</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#71367G102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4,853,549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4,855,066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4,855,066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11.913%</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#71367G102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4,855,066</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4,855,066</w:t>
      </w:r>
    </w:p>
    <w:p>
      <w:pPr>
        <w:spacing w:after="0"/>
        <w:rPr>
          <w:sz w:val="20"/>
          <w:szCs w:val="20"/>
          <w:color w:val="auto"/>
        </w:rPr>
      </w:pPr>
      <w:r>
        <w:rPr>
          <w:rFonts w:ascii="Courier New" w:cs="Courier New" w:eastAsia="Courier New" w:hAnsi="Courier New"/>
          <w:sz w:val="18"/>
          <w:szCs w:val="18"/>
          <w:color w:val="auto"/>
        </w:rPr>
        <w:t>Item 11: 11.913%</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PERELLA WEINBERG PARTNERS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767 FIFTH AVENUE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NEW YORK, NY 10153</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71367G102</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4,855,066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11.913%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4,855,066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sz w:val="20"/>
          <w:szCs w:val="20"/>
          <w:color w:val="auto"/>
        </w:rPr>
      </w:pPr>
    </w:p>
    <w:p>
      <w:pPr>
        <w:spacing w:after="0" w:line="204"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PERELLA WEINBERG PARTNERS.</w:t>
      </w:r>
    </w:p>
    <w:p>
      <w:pPr>
        <w:spacing w:after="0" w:line="2" w:lineRule="exact"/>
        <w:rPr>
          <w:sz w:val="20"/>
          <w:szCs w:val="20"/>
          <w:color w:val="auto"/>
        </w:rPr>
      </w:pPr>
    </w:p>
    <w:p>
      <w:pPr>
        <w:jc w:val="both"/>
        <w:ind w:right="1919"/>
        <w:spacing w:after="0" w:line="273" w:lineRule="auto"/>
        <w:rPr>
          <w:sz w:val="20"/>
          <w:szCs w:val="20"/>
          <w:color w:val="auto"/>
        </w:rPr>
      </w:pPr>
      <w:r>
        <w:rPr>
          <w:rFonts w:ascii="Courier New" w:cs="Courier New" w:eastAsia="Courier New" w:hAnsi="Courier New"/>
          <w:sz w:val="18"/>
          <w:szCs w:val="18"/>
          <w:color w:val="auto"/>
        </w:rPr>
        <w:t>The interest of Fidelity Small Cap Growth Fund, in the CLASS A COMMON STOCK of PERELLA WEINBERG PARTNERS, amounted to 2,039,500 shares or 5.004% of the total outstanding CLASS A COMMON STOCK at August 31, 2022.</w:t>
      </w:r>
    </w:p>
    <w:p>
      <w:pPr>
        <w:spacing w:after="0" w:line="82" w:lineRule="exact"/>
        <w:rPr>
          <w:sz w:val="20"/>
          <w:szCs w:val="20"/>
          <w:color w:val="auto"/>
        </w:rPr>
      </w:pPr>
    </w:p>
    <w:p>
      <w:pPr>
        <w:jc w:val="both"/>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12"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0" w:lineRule="exact"/>
        <w:rPr>
          <w:sz w:val="20"/>
          <w:szCs w:val="20"/>
          <w:color w:val="auto"/>
        </w:rPr>
      </w:pPr>
    </w:p>
    <w:p>
      <w:pPr>
        <w:spacing w:after="0" w:line="20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The undersigned persons, on February 9, 2023, agree and consent to the joint filing on their behalf of this Schedule 13G in connection with their beneficial ownership of the CLASS A COMMON STOCK of PERELLA WEINBERG PARTNERS at August 31, 2022.</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0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2023-02-09T11:50:25Z</dcterms:created>
  <dcterms:modified xsi:type="dcterms:W3CDTF">2023-02-09T11:50:25Z</dcterms:modified>
</cp:coreProperties>
</file>