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170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17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STEEL ROBERT K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Perella Weinberg Partners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PWP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Performance-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150,000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Based 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300" w:hanging="2"/>
        <w:spacing w:after="0" w:line="258" w:lineRule="auto"/>
        <w:tabs>
          <w:tab w:leader="none" w:pos="16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performance-based restricted stock unit ("PSU") represents a contingent right to receive one share of Class A common stock. PSUs vest based on the achievement of (i) service-based vesting conditions that are satisfied in five equal installments on the 36, 42, 48, 54 and 60 month anniversaries of the grant date and (ii) performance-based vesting conditions that are satisfied upon the achievement of closing stock price hurdles for 20 out of any 30 consecutive trading days equal to $12, $13.50, $15 and $17, in each case prior to the sixth anniversary of the grant date.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Mark Polemeni, as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347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2940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592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2021-09-10T15:51:56Z</dcterms:created>
  <dcterms:modified xsi:type="dcterms:W3CDTF">2021-09-10T15:51:56Z</dcterms:modified>
</cp:coreProperties>
</file>