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121285</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4, 2022</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136525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79375</wp:posOffset>
            </wp:positionV>
            <wp:extent cx="6180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0"/>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59"/>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7640" w:type="dxa"/>
            <w:vAlign w:val="bottom"/>
            <w:gridSpan w:val="4"/>
          </w:tcPr>
          <w:p>
            <w:pPr>
              <w:ind w:left="37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5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Warrants, each whole warrant exercisable for one share of Class A common stock</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PWPPW</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25"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700"/>
        <w:spacing w:after="0" w:line="207" w:lineRule="exact"/>
        <w:tabs>
          <w:tab w:leader="none" w:pos="109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12"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00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4, 2022, Perella Weinberg Partners (the “Company”) issued a press release announcing its financial results for the fiscal quarter ended June 30, 2022.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the Company dated August 4, 2022</w:t>
            </w:r>
          </w:p>
        </w:tc>
        <w:tc>
          <w:tcPr>
            <w:tcW w:w="556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55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857"/>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93" w:lineRule="exact"/>
        <w:rPr>
          <w:sz w:val="20"/>
          <w:szCs w:val="20"/>
          <w:color w:val="auto"/>
        </w:rPr>
      </w:pPr>
    </w:p>
    <w:p>
      <w:pPr>
        <w:ind w:left="688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Gary Barancik</w:t>
      </w:r>
    </w:p>
    <w:p>
      <w:pPr>
        <w:spacing w:after="0" w:line="6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4, 2022</w:t>
      </w:r>
    </w:p>
    <w:p>
      <w:pPr>
        <w:sectPr>
          <w:pgSz w:w="11900" w:h="16838" w:orient="portrait"/>
          <w:cols w:equalWidth="0" w:num="1">
            <w:col w:w="10920"/>
          </w:cols>
          <w:pgMar w:left="320" w:top="779" w:right="659" w:bottom="1440" w:gutter="0" w:footer="0" w:header="0"/>
        </w:sectPr>
      </w:pPr>
    </w:p>
    <w:bookmarkStart w:id="3" w:name="page4"/>
    <w:bookmarkEnd w:id="3"/>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 Reports Second Quarter 2022 Results</w:t>
      </w:r>
    </w:p>
    <w:p>
      <w:pPr>
        <w:spacing w:after="0" w:line="335" w:lineRule="exact"/>
        <w:rPr>
          <w:sz w:val="20"/>
          <w:szCs w:val="20"/>
          <w:color w:val="auto"/>
        </w:rPr>
      </w:pPr>
    </w:p>
    <w:p>
      <w:pPr>
        <w:ind w:left="580" w:hanging="329"/>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Second Quarter 2022 Revenues of $151.1 Million; First Half 2022 Revenues of $303.0 Million</w:t>
      </w:r>
    </w:p>
    <w:p>
      <w:pPr>
        <w:spacing w:after="0" w:line="117" w:lineRule="exact"/>
        <w:rPr>
          <w:rFonts w:ascii="Times New Roman" w:cs="Times New Roman" w:eastAsia="Times New Roman" w:hAnsi="Times New Roman"/>
          <w:sz w:val="18"/>
          <w:szCs w:val="18"/>
          <w:i w:val="1"/>
          <w:iCs w:val="1"/>
          <w:color w:val="auto"/>
        </w:rPr>
      </w:pPr>
    </w:p>
    <w:p>
      <w:pPr>
        <w:ind w:left="580" w:right="660" w:hanging="329"/>
        <w:spacing w:after="0" w:line="284" w:lineRule="auto"/>
        <w:tabs>
          <w:tab w:leader="none" w:pos="5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Operating Income Margin of 15.4% for the Second Quarter 2022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15.1% for the First Half 2022; GAAP Operating Loss Margin of (6.0)% for the Second Quarter 2022 and (6.4)% for the First Half 2022</w:t>
      </w:r>
    </w:p>
    <w:p>
      <w:pPr>
        <w:spacing w:after="0" w:line="50" w:lineRule="exact"/>
        <w:rPr>
          <w:rFonts w:ascii="Times New Roman" w:cs="Times New Roman" w:eastAsia="Times New Roman" w:hAnsi="Times New Roman"/>
          <w:sz w:val="18"/>
          <w:szCs w:val="18"/>
          <w:i w:val="1"/>
          <w:iCs w:val="1"/>
          <w:color w:val="auto"/>
        </w:rPr>
      </w:pPr>
    </w:p>
    <w:p>
      <w:pPr>
        <w:ind w:left="580" w:right="660" w:hanging="329"/>
        <w:spacing w:after="0" w:line="284" w:lineRule="auto"/>
        <w:tabs>
          <w:tab w:leader="none" w:pos="5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Net Income of $23.1 Million for the Second Quarter 2022 and $43.6 Million for the First Half 2022; GAAP Net Income of $2.7 Million for the Second Quarter 2022 and $3.7 Million for the First Half 2022</w:t>
      </w:r>
    </w:p>
    <w:p>
      <w:pPr>
        <w:spacing w:after="0" w:line="50" w:lineRule="exact"/>
        <w:rPr>
          <w:rFonts w:ascii="Times New Roman" w:cs="Times New Roman" w:eastAsia="Times New Roman" w:hAnsi="Times New Roman"/>
          <w:sz w:val="18"/>
          <w:szCs w:val="18"/>
          <w:i w:val="1"/>
          <w:iCs w:val="1"/>
          <w:color w:val="auto"/>
        </w:rPr>
      </w:pPr>
    </w:p>
    <w:p>
      <w:pPr>
        <w:ind w:left="580" w:right="660" w:hanging="329"/>
        <w:spacing w:after="0" w:line="284" w:lineRule="auto"/>
        <w:tabs>
          <w:tab w:leader="none" w:pos="5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Year-to-Date have Added Six Advisory Partners, with Two Additional Partners Joining the Firm in the Third Quarter; Continue to Add Talent to Support Strategic Growth And Expand Coverage and Expertise</w:t>
      </w:r>
    </w:p>
    <w:p>
      <w:pPr>
        <w:spacing w:after="0" w:line="50" w:lineRule="exact"/>
        <w:rPr>
          <w:rFonts w:ascii="Times New Roman" w:cs="Times New Roman" w:eastAsia="Times New Roman" w:hAnsi="Times New Roman"/>
          <w:sz w:val="18"/>
          <w:szCs w:val="18"/>
          <w:i w:val="1"/>
          <w:iCs w:val="1"/>
          <w:color w:val="auto"/>
        </w:rPr>
      </w:pPr>
    </w:p>
    <w:p>
      <w:pPr>
        <w:ind w:left="580" w:hanging="329"/>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Expanded Board of Directors to Include Two Additional Independent Members, Elizabeth Cogan Fascitelli and Kristin W. Mugford</w:t>
      </w:r>
    </w:p>
    <w:p>
      <w:pPr>
        <w:spacing w:after="0" w:line="117" w:lineRule="exact"/>
        <w:rPr>
          <w:rFonts w:ascii="Times New Roman" w:cs="Times New Roman" w:eastAsia="Times New Roman" w:hAnsi="Times New Roman"/>
          <w:sz w:val="18"/>
          <w:szCs w:val="18"/>
          <w:i w:val="1"/>
          <w:iCs w:val="1"/>
          <w:color w:val="auto"/>
        </w:rPr>
      </w:pPr>
    </w:p>
    <w:p>
      <w:pPr>
        <w:ind w:left="580" w:hanging="329"/>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Outstanding Indebtedness; Strong Balance Sheet</w:t>
      </w:r>
    </w:p>
    <w:p>
      <w:pPr>
        <w:spacing w:after="0" w:line="117" w:lineRule="exact"/>
        <w:rPr>
          <w:rFonts w:ascii="Times New Roman" w:cs="Times New Roman" w:eastAsia="Times New Roman" w:hAnsi="Times New Roman"/>
          <w:sz w:val="18"/>
          <w:szCs w:val="18"/>
          <w:i w:val="1"/>
          <w:iCs w:val="1"/>
          <w:color w:val="auto"/>
        </w:rPr>
      </w:pPr>
    </w:p>
    <w:p>
      <w:pPr>
        <w:ind w:left="580" w:right="660" w:hanging="329"/>
        <w:spacing w:after="0" w:line="284" w:lineRule="auto"/>
        <w:tabs>
          <w:tab w:leader="none" w:pos="5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Returned $51.7 Million in Capital During the First Six Months of 2022 via the Repurchase of Shares and Share Equivalents, Primarily in the Open Market</w:t>
      </w:r>
    </w:p>
    <w:p>
      <w:pPr>
        <w:spacing w:after="0" w:line="50" w:lineRule="exact"/>
        <w:rPr>
          <w:rFonts w:ascii="Times New Roman" w:cs="Times New Roman" w:eastAsia="Times New Roman" w:hAnsi="Times New Roman"/>
          <w:sz w:val="18"/>
          <w:szCs w:val="18"/>
          <w:i w:val="1"/>
          <w:iCs w:val="1"/>
          <w:color w:val="auto"/>
        </w:rPr>
      </w:pPr>
    </w:p>
    <w:p>
      <w:pPr>
        <w:ind w:left="580" w:hanging="329"/>
        <w:spacing w:after="0"/>
        <w:tabs>
          <w:tab w:leader="none" w:pos="580" w:val="left"/>
        </w:tabs>
        <w:numPr>
          <w:ilvl w:val="0"/>
          <w:numId w:val="2"/>
        </w:numPr>
        <w:rPr>
          <w:rFonts w:ascii="Arial" w:cs="Arial" w:eastAsia="Arial" w:hAnsi="Arial"/>
          <w:sz w:val="18"/>
          <w:szCs w:val="18"/>
          <w:i w:val="1"/>
          <w:iCs w:val="1"/>
          <w:color w:val="auto"/>
        </w:rPr>
      </w:pPr>
      <w:r>
        <w:rPr>
          <w:rFonts w:ascii="Times New Roman" w:cs="Times New Roman" w:eastAsia="Times New Roman" w:hAnsi="Times New Roman"/>
          <w:sz w:val="18"/>
          <w:szCs w:val="18"/>
          <w:i w:val="1"/>
          <w:iCs w:val="1"/>
          <w:color w:val="auto"/>
        </w:rPr>
        <w:t>Declared Quarterly Dividend of $0.07 Per Share</w:t>
      </w:r>
    </w:p>
    <w:p>
      <w:pPr>
        <w:spacing w:after="0" w:line="3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YORK, NY, August 4, 2022 – Perella Weinberg Partners (the “Firm” or “PWP”) (NASDAQ:PWP) today reported financial results for the second quarter ended June 30, 2022. The Firm reported second quarter revenues of $151.1 million for the three months ended June 30, 2022, compared with $255.5 million for the three months ended June 30, 2021. GAAP net income and adjusted net income were $2.7 million and $23.1 million, respectively, for the three months ended June 30, 2022, compared with GAAP net income of $9.0 million and adjusted net income of $61.7 million for the three months ended June 30, 2021. GAAP diluted net income per Class A share and adjusted diluted if-converted net income per Class A share were $0.00 and $0.22, respectively, for the three months ended June 30, 2022.</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half 2022 revenues were $303.0 million, compared with $425.3 million for the first half of 2021. GAAP net income and adjusted net income were $3.7 million and $43.6 million, respectively, for the six months ended June 30, 2022, compared with GAAP net income of $31.5 million and adjusted net income of $93.2 million for the six months ended June 30, 2021. GAAP diluted net income per Class A share and adjusted diluted if-converted net income (loss) per Class A share were ($0.01) and $0.41, respectively, for the six months ended June 30, 2022.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entering the public markets a year ago, we have made great strides towards the goals and strategic vision we laid out at the outset – most notably growth through the expansion of our partner base and the return of capital to shareholders, having repurchased nearly $50 million of stock in the open market this year. We are exceptionally well positioned to capitalize on future growth opportunities and will use the current operating environment to our advantage to accelerate investment in our business. We are committed to supporting our clients and helping them navigate this uncertain backdrop and in turn providing long-term value to our shareholders, with whom we are greatly aligned.” stated Peter Weinberg,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8"/>
        <w:spacing w:after="0" w:line="280" w:lineRule="auto"/>
        <w:tabs>
          <w:tab w:leader="none" w:pos="11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Selected Financial Data (Unaudited)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Amounts)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U.S. GAAP</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255,520</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162,931</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Non-compensation expenses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34,565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31,031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29,978</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62,611</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non-operating income (expenses)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(39,965)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62,084</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61,714</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(6,599)</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Perella Weinberg Partners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23,121</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Adjusted income tax benefit (expense)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If-converted tax impact</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if-converted net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share attributable to Class A common shareholders (1)</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If-Converted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 (1)</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44,584,181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42,956,667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90,688,871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94,013,583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90,730,525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jc w:val="both"/>
        <w:ind w:left="340" w:hanging="332"/>
        <w:spacing w:after="0" w:line="261"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2021, net income (loss) per share of Class A common stock and weighted-average shares of Class A common stock outstanding is representative of the period from June 24, 2021 through June 30, 2021, the period following the Business Combination. Similarly, adjusted net income (loss) per Class A share - Diluted, If Converted for the three months ended June 30, 2021 is not meaningful or comparative to GAAP diluted earnings per share, as it excludes activity prior to the Business Combination on June 24, 2021.</w:t>
      </w:r>
    </w:p>
    <w:p>
      <w:pPr>
        <w:spacing w:after="0" w:line="316" w:lineRule="exact"/>
        <w:rPr>
          <w:sz w:val="20"/>
          <w:szCs w:val="20"/>
          <w:color w:val="auto"/>
        </w:rPr>
      </w:pPr>
    </w:p>
    <w:p>
      <w:pPr>
        <w:ind w:firstLine="8"/>
        <w:spacing w:after="0" w:line="280" w:lineRule="auto"/>
        <w:tabs>
          <w:tab w:leader="none" w:pos="11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Selected Financial Data (Unaudited)</w:t>
      </w:r>
    </w:p>
    <w:tbl>
      <w:tblPr>
        <w:tblLayout w:type="fixed"/>
        <w:tblInd w:w="20" w:type="dxa"/>
        <w:tblCellMar>
          <w:top w:w="0" w:type="dxa"/>
          <w:left w:w="0" w:type="dxa"/>
          <w:bottom w:w="0" w:type="dxa"/>
          <w:right w:w="0" w:type="dxa"/>
        </w:tblCellMar>
      </w:tblPr>
      <w:tr>
        <w:trPr>
          <w:trHeight w:val="212"/>
        </w:trPr>
        <w:tc>
          <w:tcPr>
            <w:tcW w:w="7560" w:type="dxa"/>
            <w:vAlign w:val="bottom"/>
            <w:gridSpan w:val="4"/>
          </w:tcPr>
          <w:p>
            <w:pPr>
              <w:ind w:left="3840"/>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Amounts)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6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U.S. GAAP</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425,322</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272,236</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Non-compensation expenses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60,696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63,199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54,464</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98,622</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non-operating income (expenses)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(43,478)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95,616</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93,222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(14,441)</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44,006</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Perella Weinberg Partners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43,628</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Adjusted income tax benefit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If-converted tax impact</w:t>
            </w: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if-converted net income (loss)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share attributable to Class A common shareholders (1)</w:t>
            </w: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If-Converted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 (1)</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45,247,373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42,956,667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91,953,077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94,013,583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92,121,512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 the three and six months ended June 30, 2021, net income (loss) per share of Class A common stock and weighted-average shares of Class A common stock outstanding is representative of the period from June 24, 2021 through June 30, 2021, the period following the Business Combination.Similarly, adjusted net income (loss) per Class A share - Diluted, If Converted for the six months ended June 30, 2021 is not meaningful or comparative to GAAP diluted earnings per share, as it excludes activity prior to the Business Combination on June 24, 2021.</w:t>
      </w:r>
    </w:p>
    <w:p>
      <w:pPr>
        <w:spacing w:after="0" w:line="200" w:lineRule="exact"/>
        <w:rPr>
          <w:sz w:val="20"/>
          <w:szCs w:val="20"/>
          <w:color w:val="auto"/>
        </w:rPr>
      </w:pPr>
    </w:p>
    <w:p>
      <w:pPr>
        <w:spacing w:after="0" w:line="359" w:lineRule="exact"/>
        <w:rPr>
          <w:sz w:val="20"/>
          <w:szCs w:val="20"/>
          <w:color w:val="auto"/>
        </w:rPr>
      </w:pPr>
    </w:p>
    <w:p>
      <w:pPr>
        <w:ind w:firstLine="8"/>
        <w:spacing w:after="0" w:line="280" w:lineRule="auto"/>
        <w:tabs>
          <w:tab w:leader="none" w:pos="11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Revenues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second quarter 2022, revenues were $151.1 million, a decrease of 41% from $255.5 million for the second quarter 2021, which represented a record quarter for the firm. For the first half 2022, revenues were $303.0 million, a decrease of 29% from $425.3 million for the first half 2021, which also represented a record period for the firm. The period-over-period decline, for both the second quarter and first half 2022, was primarily driven by a reduction in mergers and acquisition activity across most industry groups, as well as a step down in restructuring and liability management advice, as compared to the same periods in 2021. The decrease in revenues can be attributed to both fewer advisory transaction completions and a decrease in average fee size per client.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56"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U.S. GAAP</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900" w:type="dxa"/>
            <w:vAlign w:val="bottom"/>
            <w:tcBorders>
              <w:bottom w:val="single" w:sz="8" w:color="auto"/>
            </w:tcBorders>
          </w:tcPr>
          <w:p>
            <w:pPr>
              <w:spacing w:after="0"/>
              <w:rPr>
                <w:sz w:val="18"/>
                <w:szCs w:val="18"/>
                <w:color w:val="auto"/>
              </w:rPr>
            </w:pPr>
          </w:p>
        </w:tc>
      </w:tr>
      <w:tr>
        <w:trPr>
          <w:trHeight w:val="211"/>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46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127,014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171,469</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96,763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162,931</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67 %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64 %</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Non-compensation expenses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33,103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34,565</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31,031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29,978</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12 %</w:t>
            </w: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GAAP total compensation and benefits were $127.0 million for the second quarter of 2022, compared to $171.5 million for the second quarter of 2021. Adjusted total compensation and benefits were $96.8 million for the second quarter of 2022 as compared to $162.9 million for the same period a year ago. The decrease in both GAAP total compensation and benefits and adjusted total compensation and benefits in the second quarter of 2022 was due to a smaller bonus accrual associated with lower revenues. On a GAAP basis, the smaller bonus accrual was partially offset by increased equity-based compensation related to Restricted Stock Units “RSUs” issued in connection with or subsequent to the Business Combination.</w:t>
      </w:r>
    </w:p>
    <w:p>
      <w:pPr>
        <w:spacing w:after="0" w:line="3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GAAP non-compensation expenses were $33.1 million for the second quarter of 2022, compared with $34.6 million for the second quarter of 2021. Adjusted non-compensation expenses were $31.0 million for the second quarter of 2022, compared with $30.0 million for the same period a year ago. The decrease experienced in GAAP non-compensation expenses was a result of elevated professional fees in the second quarter of 2021 related to one-time costs associated with the Business Combination partially offset by an increase in travel and related expenses as pandemic-related restrictions ease, increased public company costs including D&amp;O insurance, and a bad debt reserve. The increase in non-compensation expenses on an adjusted basis was primarily driven by these same items partially offset by a reduction in professional fees related to co-advisory fees and legal spend and lower rent and occupancy costs as a result of lease extension renegotiation.</w:t>
      </w:r>
    </w:p>
    <w:p>
      <w:pPr>
        <w:spacing w:after="0" w:line="367"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U.S. GAAP</w:t>
            </w: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960" w:type="dxa"/>
            <w:vAlign w:val="bottom"/>
            <w:tcBorders>
              <w:bottom w:val="single" w:sz="8" w:color="auto"/>
            </w:tcBorders>
          </w:tcPr>
          <w:p>
            <w:pPr>
              <w:spacing w:after="0"/>
              <w:rPr>
                <w:sz w:val="18"/>
                <w:szCs w:val="18"/>
                <w:color w:val="auto"/>
              </w:rPr>
            </w:pPr>
          </w:p>
        </w:tc>
      </w:tr>
      <w:tr>
        <w:trPr>
          <w:trHeight w:val="211"/>
        </w:trPr>
        <w:tc>
          <w:tcPr>
            <w:tcW w:w="51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5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255,149</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287,096</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193,964</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272,236</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68 %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64 %</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Non-compensation expenses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67,203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60,696</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63,199</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54,464</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22 %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13 %</w:t>
            </w: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GAAP total compensation and benefits were $255.1 million for the six months ended June 30, 2022, compared to $287.1 million for the six months ended June 30, 2021. Adjusted total compensation and benefits were $194.0 million for the six months ended June 30, 2022, compared to $272.2 million for the six months ended June 30, 2021. The decrease in both GAAP total compensation and benefits and adjusted total compensation and benefits was due to a smaller bonus accrual associated with lower revenues. On a GAAP basis, the smaller bonus accrual was partially offset by increased equity-based compensation related to RSUs issued in connection with or subsequent to the Business Combination.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8"/>
        <w:spacing w:after="0" w:line="298" w:lineRule="auto"/>
        <w:tabs>
          <w:tab w:leader="none" w:pos="11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ectPr>
          <w:pgSz w:w="11900" w:h="16838" w:orient="portrait"/>
          <w:cols w:equalWidth="0" w:num="1">
            <w:col w:w="11240"/>
          </w:cols>
          <w:pgMar w:left="320" w:top="1278" w:right="3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278" w:right="339" w:bottom="1440" w:gutter="0" w:footer="0" w:header="0"/>
          <w:type w:val="continuous"/>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non-compensation expenses were $67.2 million for the six months ended June 30, 2022, compared with $60.7 million for the six months ended June 30, 2021. Adjusted non-compensation expenses were $63.2 million for the six months ended June 30, 2022, compared with $54.5 million for the six months ended June 30, 2021. The increase experienced in both GAAP non-compensation expenses and non-compensation expenses on an adjusted basis was primarily driven by an increase in travel and related expenses as pandemic-related restrictions ease, increased public company costs including D&amp;O insurance, an increase in professional fees related to recruiting, and a bad debt reserve, partially offset by lower rent and occupancy costs as a result of lease extension renegotiation.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Perella Weinberg Partners currently owns 47.53% of the operating partnership (PWP Holdings LP) and is subject to U.S. federal and state corporate income tax. Income earned by the operating partnership is subject to certain state and foreign income taxes.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close of the Business Combination on June 24, 2021, all of our operating income was derived from the predecessor PWP entity and was not subject to U.S. corporate income tax.</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purposes of calculating adjusted if-converted net income, we have presented our results as if all partnership units had been converted to shares of Class A Common Stock, and as if all of our adjusted income for the period was subjected to U.S. corporate income tax. For the six months ended June 30, 2022, the effective tax rate for adjusted if-converted net income was 29.4%.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Capital Management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PWP had $265.1 million of cash, cash equivalents and short-term investments in U.S. Treasury Securities. The Firm has no outstanding indebtedness and has an undrawn revolving credit facility.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of PWP has declared a quarterly dividend of $0.07 per share of Class A common stock. The dividend will be paid on September 12, 2022 to Class A common stockholders of record on September 2,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2022, PWP net settled 52,759 share equivalents to satisfy tax withholding obligations at an average price per share of $6.80, and repurchased 6,267,904 shares at an average price per share of $6.97 in open market transactions pursuant to PWP’s Class A common stock repurchase program. The aggregate 6,320,663 shares were acquired at an average price per share of $6.97 for a total cost of $44.0 million.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PWP net settled 612,162 share equivalents to satisfy tax withholding obligations at an average price per share of $10.51, and repurchased 6,440,207 shares at an average price per share of $7.03 in open market transactions pursuant to PWP’s Class A common stock repurchase program which went into effect on March 25, 2022. The aggregate 7,052,369 shares were acquired at an average price per share of $7.33 for a total cost of $51.7 million.</w:t>
      </w:r>
    </w:p>
    <w:p>
      <w:pPr>
        <w:spacing w:after="0" w:line="316" w:lineRule="exact"/>
        <w:rPr>
          <w:sz w:val="20"/>
          <w:szCs w:val="20"/>
          <w:color w:val="auto"/>
        </w:rPr>
      </w:pPr>
    </w:p>
    <w:p>
      <w:pPr>
        <w:ind w:firstLine="8"/>
        <w:spacing w:after="0" w:line="280" w:lineRule="auto"/>
        <w:tabs>
          <w:tab w:leader="none" w:pos="119"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8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Conference Call and Webcast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will host a webcast and conference call on Thursday, August 4, 2022 at 9:00 am ET to discuss PWP’s financial results for the second quarter ended June 30,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be made available in the Investors section of PWP’s website at https://investors.pwpartners.com/.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can also be accessed by the following dial-in information:</w:t>
      </w:r>
    </w:p>
    <w:p>
      <w:pPr>
        <w:spacing w:after="0" w:line="239" w:lineRule="exact"/>
        <w:rPr>
          <w:sz w:val="20"/>
          <w:szCs w:val="20"/>
          <w:color w:val="auto"/>
        </w:rPr>
      </w:pPr>
    </w:p>
    <w:p>
      <w:pPr>
        <w:ind w:left="860" w:hanging="366"/>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(800) 225-9448</w:t>
      </w:r>
    </w:p>
    <w:p>
      <w:pPr>
        <w:spacing w:after="0" w:line="225"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(203) 518-9708</w:t>
      </w:r>
    </w:p>
    <w:p>
      <w:pPr>
        <w:spacing w:after="0" w:line="211"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PWPQ222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Replay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call will also be available on PWP’s website approximately two hours after the live call through August 11, 2022. To access the replay, dial</w:t>
      </w:r>
    </w:p>
    <w:p>
      <w:pPr>
        <w:spacing w:after="0" w:line="27" w:lineRule="exact"/>
        <w:rPr>
          <w:sz w:val="20"/>
          <w:szCs w:val="20"/>
          <w:color w:val="auto"/>
        </w:rPr>
      </w:pPr>
    </w:p>
    <w:p>
      <w:pPr>
        <w:ind w:firstLine="8"/>
        <w:spacing w:after="0" w:line="260" w:lineRule="auto"/>
        <w:tabs>
          <w:tab w:leader="none" w:pos="4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562-2845 (Domestic) or (402) 220-7357 (International). The replay can also be accessed on the investors section of PWP’s website at https://investors.pwpartners.com/.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PWP</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Perella Weinberg Partners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approximately 600 employees, PWP currently maintains offices in New York, Houston, London, Calgary, Chicago, Denver, Los Angeles, Paris, Munich, and San Francisco. The financial information of PWP herein refers to the business operations of PWP Holdings LP and Subsidiaries.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that management believes to be useful for investors, please refer to the latest presentation posted on the Investors section of PWP’s website at https://investors.pwpartners.com/.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Perella Weinberg Partners Investor Relations: investors@pwpartners.com</w:t>
      </w:r>
    </w:p>
    <w:p>
      <w:pPr>
        <w:spacing w:after="0"/>
        <w:rPr>
          <w:sz w:val="20"/>
          <w:szCs w:val="20"/>
          <w:color w:val="auto"/>
        </w:rPr>
      </w:pPr>
      <w:r>
        <w:rPr>
          <w:rFonts w:ascii="Times New Roman" w:cs="Times New Roman" w:eastAsia="Times New Roman" w:hAnsi="Times New Roman"/>
          <w:sz w:val="18"/>
          <w:szCs w:val="18"/>
          <w:color w:val="auto"/>
        </w:rPr>
        <w:t>For Perella Weinberg Partners Media: media@pwpartners.com</w:t>
      </w:r>
    </w:p>
    <w:p>
      <w:pPr>
        <w:spacing w:after="0" w:line="301" w:lineRule="exact"/>
        <w:rPr>
          <w:sz w:val="20"/>
          <w:szCs w:val="20"/>
          <w:color w:val="auto"/>
        </w:rPr>
      </w:pPr>
    </w:p>
    <w:p>
      <w:pPr>
        <w:ind w:firstLine="8"/>
        <w:spacing w:after="0" w:line="298" w:lineRule="auto"/>
        <w:tabs>
          <w:tab w:leader="none" w:pos="11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7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Non-GAAP Financial Measures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215" w:lineRule="exact"/>
        <w:rPr>
          <w:sz w:val="20"/>
          <w:szCs w:val="20"/>
          <w:color w:val="auto"/>
        </w:rPr>
      </w:pPr>
    </w:p>
    <w:p>
      <w:pPr>
        <w:ind w:left="640" w:hanging="366"/>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financial information, anticipated growth rate, and market opportunity of the Firm;</w:t>
      </w:r>
    </w:p>
    <w:p>
      <w:pPr>
        <w:spacing w:after="0" w:line="117" w:lineRule="exact"/>
        <w:rPr>
          <w:rFonts w:ascii="Times New Roman" w:cs="Times New Roman" w:eastAsia="Times New Roman" w:hAnsi="Times New Roman"/>
          <w:sz w:val="18"/>
          <w:szCs w:val="18"/>
          <w:color w:val="auto"/>
        </w:rPr>
      </w:pPr>
    </w:p>
    <w:p>
      <w:pPr>
        <w:ind w:left="640" w:hanging="366"/>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Firm’s Class A common stock and warrants on Nasdaq following the Business Combination;</w:t>
      </w:r>
    </w:p>
    <w:p>
      <w:pPr>
        <w:spacing w:after="0" w:line="117" w:lineRule="exact"/>
        <w:rPr>
          <w:rFonts w:ascii="Times New Roman" w:cs="Times New Roman" w:eastAsia="Times New Roman" w:hAnsi="Times New Roman"/>
          <w:sz w:val="18"/>
          <w:szCs w:val="18"/>
          <w:color w:val="auto"/>
        </w:rPr>
      </w:pPr>
    </w:p>
    <w:p>
      <w:pPr>
        <w:ind w:left="640" w:hanging="366"/>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17" w:lineRule="exact"/>
        <w:rPr>
          <w:rFonts w:ascii="Times New Roman" w:cs="Times New Roman" w:eastAsia="Times New Roman" w:hAnsi="Times New Roman"/>
          <w:sz w:val="18"/>
          <w:szCs w:val="18"/>
          <w:color w:val="auto"/>
        </w:rPr>
      </w:pPr>
    </w:p>
    <w:p>
      <w:pPr>
        <w:ind w:left="660" w:right="580" w:hanging="386"/>
        <w:spacing w:after="0" w:line="282" w:lineRule="auto"/>
        <w:tabs>
          <w:tab w:leader="none" w:pos="6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partners and other employees, or changes related to, our officers, key employees or directors following the completion of the Business Combination;</w:t>
      </w:r>
    </w:p>
    <w:p>
      <w:pPr>
        <w:spacing w:after="0" w:line="53" w:lineRule="exact"/>
        <w:rPr>
          <w:rFonts w:ascii="Times New Roman" w:cs="Times New Roman" w:eastAsia="Times New Roman" w:hAnsi="Times New Roman"/>
          <w:sz w:val="18"/>
          <w:szCs w:val="18"/>
          <w:color w:val="auto"/>
        </w:rPr>
      </w:pPr>
    </w:p>
    <w:p>
      <w:pPr>
        <w:ind w:left="640" w:hanging="366"/>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our management team allocating their time to other businesses and potentially having conflicts of interest with our business;</w:t>
      </w:r>
    </w:p>
    <w:p>
      <w:pPr>
        <w:spacing w:after="0" w:line="117" w:lineRule="exact"/>
        <w:rPr>
          <w:rFonts w:ascii="Times New Roman" w:cs="Times New Roman" w:eastAsia="Times New Roman" w:hAnsi="Times New Roman"/>
          <w:sz w:val="18"/>
          <w:szCs w:val="18"/>
          <w:color w:val="auto"/>
        </w:rPr>
      </w:pPr>
    </w:p>
    <w:p>
      <w:pPr>
        <w:ind w:left="640" w:hanging="366"/>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the Firm, including:</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Firm realizes all or any of the anticipated benefits from the Business Combination;</w:t>
      </w:r>
    </w:p>
    <w:p>
      <w:pPr>
        <w:spacing w:after="0" w:line="117" w:lineRule="exact"/>
        <w:rPr>
          <w:rFonts w:ascii="Times New Roman" w:cs="Times New Roman" w:eastAsia="Times New Roman" w:hAnsi="Times New Roman"/>
          <w:sz w:val="18"/>
          <w:szCs w:val="18"/>
          <w:color w:val="auto"/>
        </w:rPr>
      </w:pPr>
    </w:p>
    <w:p>
      <w:pPr>
        <w:ind w:left="920" w:right="260" w:hanging="303"/>
        <w:spacing w:after="0" w:line="282" w:lineRule="auto"/>
        <w:tabs>
          <w:tab w:leader="none" w:pos="915"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Business Combination results in any increased or unforeseen costs or has an impact on the Firm’s ability to retain or compete for professional talent or investor capital;</w:t>
      </w:r>
    </w:p>
    <w:p>
      <w:pPr>
        <w:spacing w:after="0" w:line="53" w:lineRule="exact"/>
        <w:rPr>
          <w:rFonts w:ascii="Times New Roman" w:cs="Times New Roman" w:eastAsia="Times New Roman" w:hAnsi="Times New Roman"/>
          <w:sz w:val="18"/>
          <w:szCs w:val="18"/>
          <w:color w:val="auto"/>
        </w:rPr>
      </w:pPr>
    </w:p>
    <w:p>
      <w:pPr>
        <w:jc w:val="both"/>
        <w:ind w:left="920" w:right="320" w:hanging="303"/>
        <w:spacing w:after="0" w:line="266" w:lineRule="auto"/>
        <w:tabs>
          <w:tab w:leader="none" w:pos="915"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business, market and geopolitical conditions, including the impact of public health crises, such as the ongoing rapid, worldwide spread of a novel strain of coronavirus and the pandemic caused thereby (collectively, “COVID-19”) as well as the impact of recent hostilities between Russia and Ukraine;</w:t>
      </w:r>
    </w:p>
    <w:p>
      <w:pPr>
        <w:spacing w:after="0" w:line="6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dependence on and ability to retain working partners and other key employees;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ability to successfully identify, recruit and develop talent;</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transactions, such as joint ventures, strategic investments, acquisitions and dispositions;</w:t>
      </w: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spacing w:after="0" w:line="2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 Throughout this release, adjusted figures represent Non-GAAP information. See “Non-GAAP Financial Measures” and the tables at the end of this release for an explanation of the adjustments and reconciliations to the comparable GAAP numbers.</w:t>
      </w:r>
    </w:p>
    <w:p>
      <w:pPr>
        <w:sectPr>
          <w:pgSz w:w="11900" w:h="16838" w:orient="portrait"/>
          <w:cols w:equalWidth="0" w:num="1">
            <w:col w:w="11240"/>
          </w:cols>
          <w:pgMar w:left="320" w:top="1278" w:right="3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278" w:right="339" w:bottom="1440" w:gutter="0" w:footer="0" w:header="0"/>
          <w:type w:val="continuous"/>
        </w:sectPr>
      </w:pPr>
    </w:p>
    <w:bookmarkStart w:id="10" w:name="page11"/>
    <w:bookmarkEnd w:id="10"/>
    <w:p>
      <w:pPr>
        <w:ind w:left="900" w:hanging="2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conditions impacting the corporate advisory industry;</w:t>
      </w:r>
    </w:p>
    <w:p>
      <w:pPr>
        <w:spacing w:after="0" w:line="117" w:lineRule="exact"/>
        <w:rPr>
          <w:rFonts w:ascii="Times New Roman" w:cs="Times New Roman" w:eastAsia="Times New Roman" w:hAnsi="Times New Roman"/>
          <w:sz w:val="18"/>
          <w:szCs w:val="18"/>
          <w:color w:val="auto"/>
        </w:rPr>
      </w:pPr>
    </w:p>
    <w:p>
      <w:pPr>
        <w:ind w:left="920" w:right="460" w:hanging="303"/>
        <w:spacing w:after="0" w:line="282" w:lineRule="auto"/>
        <w:tabs>
          <w:tab w:leader="none" w:pos="9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dependence on its fee-paying clients and fluctuating revenues from its non-exclusive, engagement-by-engagement business model;</w:t>
      </w:r>
    </w:p>
    <w:p>
      <w:pPr>
        <w:spacing w:after="0" w:line="53" w:lineRule="exact"/>
        <w:rPr>
          <w:rFonts w:ascii="Times New Roman" w:cs="Times New Roman" w:eastAsia="Times New Roman" w:hAnsi="Times New Roman"/>
          <w:sz w:val="18"/>
          <w:szCs w:val="18"/>
          <w:color w:val="auto"/>
        </w:rPr>
      </w:pPr>
    </w:p>
    <w:p>
      <w:pPr>
        <w:ind w:left="920" w:right="120" w:hanging="303"/>
        <w:spacing w:after="0" w:line="282" w:lineRule="auto"/>
        <w:tabs>
          <w:tab w:leader="none" w:pos="9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volatility of the Firm’s revenues as a result of its reliance on advisory fees that are largely contingent on the completion of events which may be out of its control;</w:t>
      </w:r>
    </w:p>
    <w:p>
      <w:pPr>
        <w:spacing w:after="0" w:line="53"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Firm’s clients to pay for its services, including its restructuring clients;</w:t>
      </w:r>
    </w:p>
    <w:p>
      <w:pPr>
        <w:spacing w:after="0" w:line="117" w:lineRule="exact"/>
        <w:rPr>
          <w:rFonts w:ascii="Times New Roman" w:cs="Times New Roman" w:eastAsia="Times New Roman" w:hAnsi="Times New Roman"/>
          <w:sz w:val="18"/>
          <w:szCs w:val="18"/>
          <w:color w:val="auto"/>
        </w:rPr>
      </w:pPr>
    </w:p>
    <w:p>
      <w:pPr>
        <w:ind w:left="920" w:right="240" w:hanging="303"/>
        <w:spacing w:after="0" w:line="282" w:lineRule="auto"/>
        <w:tabs>
          <w:tab w:leader="none" w:pos="9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ability to appropriately manage conflicts of interest and tax and other regulatory factors relevant to the Firm’s business, including actual, potential or perceived conflicts of interest and other factors that may damage its business and reputation;</w:t>
      </w:r>
    </w:p>
    <w:p>
      <w:pPr>
        <w:spacing w:after="0" w:line="53"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from other financial advisory and investment banking firms;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goodwill and other intangible assets, which represent a significant portion of the Firm’s assets;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successful formulation and execution of its business and growth strategies;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third-party litigation involving the Firm;</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risks in the financial services industry;</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other operational risks;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ability to expand into new markets and lines of businesses for the advisory business;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fluctuations in foreign currency exchange rates;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Firm’s operations, financial results, financial condition, business prospects, growth strategy and liquidity; and</w:t>
      </w:r>
    </w:p>
    <w:p>
      <w:pPr>
        <w:spacing w:after="0" w:line="117" w:lineRule="exact"/>
        <w:rPr>
          <w:rFonts w:ascii="Times New Roman" w:cs="Times New Roman" w:eastAsia="Times New Roman" w:hAnsi="Times New Roman"/>
          <w:sz w:val="18"/>
          <w:szCs w:val="18"/>
          <w:color w:val="auto"/>
        </w:rPr>
      </w:pPr>
    </w:p>
    <w:p>
      <w:pPr>
        <w:ind w:left="920" w:right="220" w:hanging="303"/>
        <w:spacing w:after="0" w:line="282" w:lineRule="auto"/>
        <w:tabs>
          <w:tab w:leader="none" w:pos="9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2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forward-looking statements in this press release and oral statements made from time to time by representatives of PWP are based on current expectations and beliefs concerning future developments and their potential effects on the Firm. There can be no assurance that future developments affecting the Firm will be those that the Firm has anticipated. These forward-looking statements involve a number of risks, uncertainties (some of which are beyond the Firm’s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in our Amendment No. 1 to our Annual Report on Form 10-K/A filed with the SEC on July 7, 2022 and the other documents filed by the Firm from time to time with the SEC. Should one or more of these risks or uncertainties materialize, or should any of our assumptions prove incorrect, actual results may vary in material respects from those projected in these forward-looking statements. The Firm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8"/>
        <w:spacing w:after="0" w:line="280" w:lineRule="auto"/>
        <w:tabs>
          <w:tab w:leader="none" w:pos="119"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82" w:right="339" w:bottom="1440" w:gutter="0" w:footer="0" w:header="0"/>
        </w:sectPr>
      </w:pPr>
    </w:p>
    <w:bookmarkStart w:id="11" w:name="page12"/>
    <w:bookmarkEnd w:id="11"/>
    <w:p>
      <w:pPr>
        <w:ind w:left="3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Consolidated Statements of Operations (Unaudited)</w:t>
      </w:r>
    </w:p>
    <w:p>
      <w:pPr>
        <w:ind w:left="3860"/>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25"/>
        </w:trPr>
        <w:tc>
          <w:tcPr>
            <w:tcW w:w="5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425,322</w:t>
            </w: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273,874</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36,427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13,222</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287,096</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fees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17,948</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Technology and infrastructure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14,097</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 and occupancy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13,295</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Travel and related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5,878</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7,602</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expenses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160,117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206,034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322,352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347,792</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77,530</w:t>
            </w: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income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Related party income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(39,408)</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(7,464)</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non-operating income (expenses)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(39,965)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(43,478)</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34,052</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31,507</w:t>
            </w:r>
          </w:p>
        </w:tc>
        <w:tc>
          <w:tcPr>
            <w:tcW w:w="0" w:type="dxa"/>
            <w:vAlign w:val="bottom"/>
          </w:tcPr>
          <w:p>
            <w:pPr>
              <w:spacing w:after="0"/>
              <w:rPr>
                <w:sz w:val="1"/>
                <w:szCs w:val="1"/>
                <w:color w:val="auto"/>
              </w:rPr>
            </w:pPr>
          </w:p>
        </w:tc>
      </w:tr>
      <w:tr>
        <w:trPr>
          <w:trHeight w:val="214"/>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Less: Net income (loss) attributable to non-controlling interests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44,006</w:t>
            </w:r>
          </w:p>
        </w:tc>
        <w:tc>
          <w:tcPr>
            <w:tcW w:w="0" w:type="dxa"/>
            <w:vAlign w:val="bottom"/>
          </w:tcPr>
          <w:p>
            <w:pPr>
              <w:spacing w:after="0"/>
              <w:rPr>
                <w:sz w:val="1"/>
                <w:szCs w:val="1"/>
                <w:color w:val="auto"/>
              </w:rPr>
            </w:pPr>
          </w:p>
        </w:tc>
      </w:tr>
      <w:tr>
        <w:trPr>
          <w:trHeight w:val="23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Perella Weinberg Partners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attributable to Class A common shareholders (1)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shares of Class A common stock outstanding (1)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44,584,181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42,956,667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45,247,373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42,956,667</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90,688,871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94,013,583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91,953,077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94,013,583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80" w:right="420" w:hanging="372"/>
        <w:spacing w:after="0" w:line="281" w:lineRule="auto"/>
        <w:tabs>
          <w:tab w:leader="none" w:pos="37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 the three and six months ended June 30, 2021, net income (loss) per share of Class A common stock and weighted-average shares of Class A common stock outstanding is representative of the period from June 24, 2021 through June 30, 2021, the period following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8"/>
        <w:spacing w:after="0" w:line="298" w:lineRule="auto"/>
        <w:tabs>
          <w:tab w:leader="none" w:pos="11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26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U.S. GAAP Reconciliation of Adjusted Results (Unaudited)</w:t>
      </w: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46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compensation and benefits—GAAP</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171,469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255,149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287,096</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Equity-based compensation not dilutive to investors in PWP or PWP OpCo (1)</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(13,222)</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company transaction related incentives (2)</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0" w:type="dxa"/>
            <w:vAlign w:val="bottom"/>
          </w:tcPr>
          <w:p>
            <w:pPr>
              <w:spacing w:after="0"/>
              <w:rPr>
                <w:sz w:val="1"/>
                <w:szCs w:val="1"/>
                <w:color w:val="auto"/>
              </w:rPr>
            </w:pPr>
          </w:p>
        </w:tc>
      </w:tr>
      <w:tr>
        <w:trPr>
          <w:trHeight w:val="19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total compensation and benefits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96,763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162,931</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193,964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272,236</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Non-compensation expense—GAAP</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33,103</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34,565</w:t>
            </w:r>
          </w:p>
        </w:tc>
        <w:tc>
          <w:tcPr>
            <w:tcW w:w="8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67,203</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60,696</w:t>
            </w:r>
          </w:p>
        </w:tc>
        <w:tc>
          <w:tcPr>
            <w:tcW w:w="0" w:type="dxa"/>
            <w:vAlign w:val="bottom"/>
          </w:tcPr>
          <w:p>
            <w:pPr>
              <w:spacing w:after="0"/>
              <w:rPr>
                <w:sz w:val="1"/>
                <w:szCs w:val="1"/>
                <w:color w:val="auto"/>
              </w:rPr>
            </w:pPr>
          </w:p>
        </w:tc>
      </w:tr>
      <w:tr>
        <w:trPr>
          <w:trHeight w:val="20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TPH business combination related expenses (3)</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Business Combination transaction expenses (4)</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Exchange transaction expenses (5)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non-compensation expense (6)</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31,031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29,978</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63,199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54,464</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(loss)—GAAP</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49,486</w:t>
            </w:r>
          </w:p>
        </w:tc>
        <w:tc>
          <w:tcPr>
            <w:tcW w:w="8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(19,372)</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77,530</w:t>
            </w:r>
          </w:p>
        </w:tc>
        <w:tc>
          <w:tcPr>
            <w:tcW w:w="0" w:type="dxa"/>
            <w:vAlign w:val="bottom"/>
          </w:tcPr>
          <w:p>
            <w:pPr>
              <w:spacing w:after="0"/>
              <w:rPr>
                <w:sz w:val="1"/>
                <w:szCs w:val="1"/>
                <w:color w:val="auto"/>
              </w:rPr>
            </w:pPr>
          </w:p>
        </w:tc>
      </w:tr>
      <w:tr>
        <w:trPr>
          <w:trHeight w:val="20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 compensation not dilutive to investors in PWP or PWP OpCo (1)</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13,222</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Public company transaction related incentives (2)</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TPH business combination related expenses (3)</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Business Combination transaction expenses (4)</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2,942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Exchange transaction expenses (5)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operating income (loss)</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23,310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62,611</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45,817</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98,622</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Non-operating income (expense)—GAAP</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14,820</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(39,965)</w:t>
            </w:r>
          </w:p>
        </w:tc>
        <w:tc>
          <w:tcPr>
            <w:tcW w:w="8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29,227</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(43,478)</w:t>
            </w:r>
          </w:p>
        </w:tc>
        <w:tc>
          <w:tcPr>
            <w:tcW w:w="0" w:type="dxa"/>
            <w:vAlign w:val="bottom"/>
          </w:tcPr>
          <w:p>
            <w:pPr>
              <w:spacing w:after="0"/>
              <w:rPr>
                <w:sz w:val="1"/>
                <w:szCs w:val="1"/>
                <w:color w:val="auto"/>
              </w:rPr>
            </w:pPr>
          </w:p>
        </w:tc>
      </w:tr>
      <w:tr>
        <w:trPr>
          <w:trHeight w:val="20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 (7)</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on debt extinguishment (8)</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39,408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39,408</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debt costs (9)</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0" w:type="dxa"/>
            <w:vAlign w:val="bottom"/>
          </w:tcPr>
          <w:p>
            <w:pPr>
              <w:spacing w:after="0"/>
              <w:rPr>
                <w:sz w:val="1"/>
                <w:szCs w:val="1"/>
                <w:color w:val="auto"/>
              </w:rPr>
            </w:pPr>
          </w:p>
        </w:tc>
      </w:tr>
      <w:tr>
        <w:trPr>
          <w:trHeight w:val="19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non-operating income (expense)</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(3,006)</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taxes—GAAP</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9,521</w:t>
            </w:r>
          </w:p>
        </w:tc>
        <w:tc>
          <w:tcPr>
            <w:tcW w:w="8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9,855</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34,052</w:t>
            </w:r>
          </w:p>
        </w:tc>
        <w:tc>
          <w:tcPr>
            <w:tcW w:w="0" w:type="dxa"/>
            <w:vAlign w:val="bottom"/>
          </w:tcPr>
          <w:p>
            <w:pPr>
              <w:spacing w:after="0"/>
              <w:rPr>
                <w:sz w:val="1"/>
                <w:szCs w:val="1"/>
                <w:color w:val="auto"/>
              </w:rPr>
            </w:pPr>
          </w:p>
        </w:tc>
      </w:tr>
      <w:tr>
        <w:trPr>
          <w:trHeight w:val="20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 compensation not dilutive to investors in PWP or PWP OpCo (1)</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13,222</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Public company transaction related incentives (2)</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TPH business combination related expenses (3)</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Business Combination transaction expenses (4)</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2,942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Exchange transaction expenses (5)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 (7)</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debt extinguishment (8)</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39,408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39,408</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of debt costs (9)</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978</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0" w:type="dxa"/>
            <w:vAlign w:val="bottom"/>
          </w:tcPr>
          <w:p>
            <w:pPr>
              <w:spacing w:after="0"/>
              <w:rPr>
                <w:sz w:val="1"/>
                <w:szCs w:val="1"/>
                <w:color w:val="auto"/>
              </w:rPr>
            </w:pPr>
          </w:p>
        </w:tc>
      </w:tr>
      <w:tr>
        <w:trPr>
          <w:trHeight w:val="228"/>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income (loss) before income taxes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62,084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53,018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95,616</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 benefit (expense)—GAAP</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w:t>
            </w:r>
          </w:p>
        </w:tc>
        <w:tc>
          <w:tcPr>
            <w:tcW w:w="4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(6,137)</w:t>
            </w:r>
          </w:p>
        </w:tc>
        <w:tc>
          <w:tcPr>
            <w:tcW w:w="4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impact of non-GAAP adjustments (10)</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28"/>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income tax benefit (expense)</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(loss)—GAAP</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4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9,000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w:t>
            </w:r>
          </w:p>
        </w:tc>
        <w:tc>
          <w:tcPr>
            <w:tcW w:w="4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31,507</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Equity-based compensation not dilutive to investors in PWP or PWP OpCo (1)</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7,065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13,222</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company transaction related incentives (2)</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TPH business combination related expenses (3)</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Combination transaction expenses (4)</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2,942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Warrant Exchange transaction expenses (5)</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 (7)</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0" w:type="dxa"/>
            <w:vAlign w:val="bottom"/>
          </w:tcPr>
          <w:p>
            <w:pPr>
              <w:spacing w:after="0"/>
              <w:rPr>
                <w:sz w:val="1"/>
                <w:szCs w:val="1"/>
                <w:color w:val="auto"/>
              </w:rPr>
            </w:pPr>
          </w:p>
        </w:tc>
      </w:tr>
      <w:tr>
        <w:trPr>
          <w:trHeight w:val="19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on debt extinguishment (8)</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39,408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39,408</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debt costs (9)</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impact of non-GAAP adjustments (10)</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28"/>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 (loss)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61,714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43,628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93,222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Adjusted income tax benefit (expense)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NM</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Add: If-converted tax impact (11)</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NM</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28"/>
        </w:trPr>
        <w:tc>
          <w:tcPr>
            <w:tcW w:w="5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if-converted net income (loss)</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NM</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diluted shares of Class A common stock outstanding</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90,688,871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91,953,077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5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Weighted average number of incremental shares from assumed vesting of RSUs and PSUs</w:t>
            </w:r>
          </w:p>
        </w:tc>
        <w:tc>
          <w:tcPr>
            <w:tcW w:w="2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41,654</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168,435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adjusted diluted shares of Class A common stock outstanding</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90,730,525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92,121,512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(loss) per Class A share—diluted, if—converted (13)</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NM</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firstLine="8"/>
        <w:spacing w:after="0" w:line="298" w:lineRule="auto"/>
        <w:tabs>
          <w:tab w:leader="none" w:pos="11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ectPr>
          <w:pgSz w:w="11900" w:h="16838" w:orient="portrait"/>
          <w:cols w:equalWidth="0" w:num="1">
            <w:col w:w="11240"/>
          </w:cols>
          <w:pgMar w:left="320" w:top="1161" w:right="339" w:bottom="1095"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61" w:right="339" w:bottom="1095"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Notes to U.S. GAAP Reconciliation of Adjusted Results:</w:t>
      </w:r>
    </w:p>
    <w:p>
      <w:pPr>
        <w:spacing w:after="0" w:line="250" w:lineRule="exact"/>
        <w:rPr>
          <w:sz w:val="20"/>
          <w:szCs w:val="20"/>
          <w:color w:val="auto"/>
        </w:rPr>
      </w:pPr>
    </w:p>
    <w:p>
      <w:pPr>
        <w:jc w:val="both"/>
        <w:ind w:left="500" w:hanging="492"/>
        <w:spacing w:after="0" w:line="263" w:lineRule="auto"/>
        <w:tabs>
          <w:tab w:leader="none" w:pos="49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Equity-based compensation not dilutive to investors in PWP or PWP Holdings LP (“PWP OpCo”) includes amortization of legacy awards granted to certain partners prior to the Business Combination and PWP Professional Partners LP (“Professional Partners”) ACU and VCU awards. The vesting of these awards does not dilute PWP shareholders relative to Professional Partners as Professional Partners’ interest in PWP OpCo does not change as a result of granting those equity awards to its working partners.</w:t>
      </w:r>
    </w:p>
    <w:p>
      <w:pPr>
        <w:spacing w:after="0" w:line="219" w:lineRule="exact"/>
        <w:rPr>
          <w:rFonts w:ascii="Times New Roman" w:cs="Times New Roman" w:eastAsia="Times New Roman" w:hAnsi="Times New Roman"/>
          <w:sz w:val="16"/>
          <w:szCs w:val="16"/>
          <w:color w:val="auto"/>
        </w:rPr>
      </w:pPr>
    </w:p>
    <w:p>
      <w:pPr>
        <w:jc w:val="both"/>
        <w:ind w:left="500" w:right="120" w:hanging="492"/>
        <w:spacing w:after="0" w:line="263" w:lineRule="auto"/>
        <w:tabs>
          <w:tab w:leader="none" w:pos="49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company transaction related incentives includes discretionary bonus payments as well as equity-based compensation for transaction-related RSUs which are directly related to milestone events that were part of the Business Combination process and reorganization. These payments were outside of PWP’s normal and recurring bonus and compensation processes.</w:t>
      </w:r>
    </w:p>
    <w:p>
      <w:pPr>
        <w:spacing w:after="0" w:line="218" w:lineRule="exact"/>
        <w:rPr>
          <w:rFonts w:ascii="Times New Roman" w:cs="Times New Roman" w:eastAsia="Times New Roman" w:hAnsi="Times New Roman"/>
          <w:sz w:val="16"/>
          <w:szCs w:val="16"/>
          <w:color w:val="auto"/>
        </w:rPr>
      </w:pPr>
    </w:p>
    <w:p>
      <w:pPr>
        <w:ind w:left="500" w:right="120" w:hanging="492"/>
        <w:spacing w:after="0" w:line="280" w:lineRule="auto"/>
        <w:tabs>
          <w:tab w:leader="none" w:pos="49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30, 2016, we completed a business combination with Tudor, Pickering, Holt &amp; Co., LLC (TPH), an independent advisory firm focused on the energy industry. TPH business combination related expenses include intangible asset amortization associated with the acquisition.</w:t>
      </w:r>
    </w:p>
    <w:p>
      <w:pPr>
        <w:spacing w:after="0" w:line="205" w:lineRule="exact"/>
        <w:rPr>
          <w:rFonts w:ascii="Times New Roman" w:cs="Times New Roman" w:eastAsia="Times New Roman" w:hAnsi="Times New Roman"/>
          <w:sz w:val="16"/>
          <w:szCs w:val="16"/>
          <w:color w:val="auto"/>
        </w:rPr>
      </w:pPr>
    </w:p>
    <w:p>
      <w:pPr>
        <w:ind w:left="500" w:right="120" w:hanging="492"/>
        <w:spacing w:after="0" w:line="280" w:lineRule="auto"/>
        <w:tabs>
          <w:tab w:leader="none" w:pos="49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costs that were expensed associated with the Business Combination as well as equity-based vesting for transaction-related RSUs issued to non-employees.</w:t>
      </w:r>
    </w:p>
    <w:p>
      <w:pPr>
        <w:spacing w:after="0" w:line="191" w:lineRule="exact"/>
        <w:rPr>
          <w:rFonts w:ascii="Times New Roman" w:cs="Times New Roman" w:eastAsia="Times New Roman" w:hAnsi="Times New Roman"/>
          <w:sz w:val="16"/>
          <w:szCs w:val="16"/>
          <w:color w:val="auto"/>
        </w:rPr>
      </w:pPr>
    </w:p>
    <w:p>
      <w:pPr>
        <w:ind w:left="500" w:right="120" w:hanging="492"/>
        <w:spacing w:after="0" w:line="298" w:lineRule="auto"/>
        <w:tabs>
          <w:tab w:leader="none" w:pos="49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costs that were expensed associated with the exchange offer and solicitation (together, the “Warrant Exchange”) relating to the Company’s outstanding warrants, which the Company commenced on July 22, 2022.</w:t>
      </w:r>
    </w:p>
    <w:p>
      <w:pPr>
        <w:spacing w:after="0" w:line="191" w:lineRule="exact"/>
        <w:rPr>
          <w:rFonts w:ascii="Times New Roman" w:cs="Times New Roman" w:eastAsia="Times New Roman" w:hAnsi="Times New Roman"/>
          <w:sz w:val="16"/>
          <w:szCs w:val="16"/>
          <w:color w:val="auto"/>
        </w:rPr>
      </w:pPr>
    </w:p>
    <w:p>
      <w:pPr>
        <w:ind w:left="500" w:right="120" w:hanging="492"/>
        <w:spacing w:after="0" w:line="268" w:lineRule="auto"/>
        <w:tabs>
          <w:tab w:leader="none" w:pos="4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See reconciliation below for the components of the consolidated statements of operations included in non-compensation expense—GAAP as well as Adjusted non-compensation expense.</w:t>
      </w:r>
    </w:p>
    <w:p>
      <w:pPr>
        <w:spacing w:after="0" w:line="21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fair value of warrant liabilities is non-cash and we believe not indicative of our core performance.</w:t>
      </w:r>
    </w:p>
    <w:p>
      <w:pPr>
        <w:spacing w:after="0" w:line="248" w:lineRule="exact"/>
        <w:rPr>
          <w:rFonts w:ascii="Times New Roman" w:cs="Times New Roman" w:eastAsia="Times New Roman" w:hAnsi="Times New Roman"/>
          <w:sz w:val="16"/>
          <w:szCs w:val="16"/>
          <w:color w:val="auto"/>
        </w:rPr>
      </w:pPr>
    </w:p>
    <w:p>
      <w:pPr>
        <w:ind w:left="500" w:right="100" w:hanging="492"/>
        <w:spacing w:after="0" w:line="280" w:lineRule="auto"/>
        <w:tabs>
          <w:tab w:leader="none" w:pos="49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debt extinguishment resulted from the payoff of the 7.0% Subordinated Unsecured Convertible Notes due 2026 in conjunction with the Business Combination.</w:t>
      </w:r>
    </w:p>
    <w:p>
      <w:pPr>
        <w:spacing w:after="0" w:line="218"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Amortization of debt costs is composed of the amortization of debt discounts and issuance costs, which is included in interest expense.</w:t>
      </w:r>
    </w:p>
    <w:p>
      <w:pPr>
        <w:spacing w:after="0" w:line="238" w:lineRule="exact"/>
        <w:rPr>
          <w:rFonts w:ascii="Times New Roman" w:cs="Times New Roman" w:eastAsia="Times New Roman" w:hAnsi="Times New Roman"/>
          <w:sz w:val="18"/>
          <w:szCs w:val="18"/>
          <w:color w:val="auto"/>
        </w:rPr>
      </w:pPr>
    </w:p>
    <w:p>
      <w:pPr>
        <w:jc w:val="both"/>
        <w:ind w:left="500" w:right="120" w:hanging="492"/>
        <w:spacing w:after="0" w:line="272" w:lineRule="auto"/>
        <w:tabs>
          <w:tab w:leader="none" w:pos="49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non-GAAP tax expense represents the Company’s calculated tax expense on adjusted non-GAAP income. It excludes the impact on income taxes of certain transaction-related items and other items not reflected in our adjusted non-GAAP results. It does not represent the cash that the Company expects to pay for taxes in the current periods.</w:t>
      </w:r>
    </w:p>
    <w:p>
      <w:pPr>
        <w:spacing w:after="0" w:line="197" w:lineRule="exact"/>
        <w:rPr>
          <w:rFonts w:ascii="Times New Roman" w:cs="Times New Roman" w:eastAsia="Times New Roman" w:hAnsi="Times New Roman"/>
          <w:sz w:val="16"/>
          <w:szCs w:val="16"/>
          <w:color w:val="auto"/>
        </w:rPr>
      </w:pPr>
    </w:p>
    <w:p>
      <w:pPr>
        <w:ind w:left="500" w:hanging="492"/>
        <w:spacing w:after="0" w:line="263" w:lineRule="auto"/>
        <w:tabs>
          <w:tab w:leader="none" w:pos="49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if-converted tax expense represents the Company's calculated tax expense on adjusted non-GAAP income assuming the exchange of all partnership units for PWP Class A common stock, resulting in all of the Company’s income being subject to corporate-level tax.</w:t>
      </w:r>
    </w:p>
    <w:p>
      <w:pPr>
        <w:spacing w:after="0" w:line="204" w:lineRule="exact"/>
        <w:rPr>
          <w:rFonts w:ascii="Times New Roman" w:cs="Times New Roman" w:eastAsia="Times New Roman" w:hAnsi="Times New Roman"/>
          <w:sz w:val="16"/>
          <w:szCs w:val="16"/>
          <w:color w:val="auto"/>
        </w:rPr>
      </w:pPr>
    </w:p>
    <w:p>
      <w:pPr>
        <w:ind w:left="500" w:hanging="492"/>
        <w:spacing w:after="0" w:line="263" w:lineRule="auto"/>
        <w:tabs>
          <w:tab w:leader="none" w:pos="49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Assumed vesting of RSUs and performance restricted stock units (“PSUs”) as calculated using the treasury stock method and to the extent dilutive to Adjusted net income (loss) per Class A share—diluted, if-converted.</w:t>
      </w:r>
    </w:p>
    <w:p>
      <w:pPr>
        <w:spacing w:after="0" w:line="217" w:lineRule="exact"/>
        <w:rPr>
          <w:rFonts w:ascii="Times New Roman" w:cs="Times New Roman" w:eastAsia="Times New Roman" w:hAnsi="Times New Roman"/>
          <w:sz w:val="16"/>
          <w:szCs w:val="16"/>
          <w:color w:val="auto"/>
        </w:rPr>
      </w:pPr>
    </w:p>
    <w:p>
      <w:pPr>
        <w:ind w:left="500" w:right="120" w:hanging="492"/>
        <w:spacing w:after="0" w:line="280" w:lineRule="auto"/>
        <w:tabs>
          <w:tab w:leader="none" w:pos="49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(loss) per Class A share—diluted, if-converted for the three and six month periods ended June 30, 2021 is not meaningful or comparative to GAAP diluted earnings per share, as it excludes activity prior to the Business Combination on June 24, 2021.</w:t>
      </w:r>
    </w:p>
    <w:p>
      <w:pPr>
        <w:spacing w:after="0" w:line="200" w:lineRule="exact"/>
        <w:rPr>
          <w:sz w:val="20"/>
          <w:szCs w:val="20"/>
          <w:color w:val="auto"/>
        </w:rPr>
      </w:pPr>
    </w:p>
    <w:p>
      <w:pPr>
        <w:spacing w:after="0" w:line="218" w:lineRule="exact"/>
        <w:rPr>
          <w:sz w:val="20"/>
          <w:szCs w:val="20"/>
          <w:color w:val="auto"/>
        </w:rPr>
      </w:pPr>
    </w:p>
    <w:p>
      <w:pPr>
        <w:ind w:firstLine="8"/>
        <w:spacing w:after="0" w:line="298" w:lineRule="auto"/>
        <w:tabs>
          <w:tab w:leader="none" w:pos="11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20" w:right="339" w:bottom="1440" w:gutter="0" w:footer="0" w:header="0"/>
        </w:sectPr>
      </w:pPr>
    </w:p>
    <w:bookmarkStart w:id="14" w:name="page15"/>
    <w:bookmarkEnd w:id="14"/>
    <w:p>
      <w:pPr>
        <w:ind w:left="35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U.S. GAAP Reconciliation of Adjusted Results (Unaudited)</w:t>
      </w:r>
    </w:p>
    <w:p>
      <w:pPr>
        <w:spacing w:after="0" w:line="1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4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20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1160" w:type="dxa"/>
            <w:vAlign w:val="bottom"/>
            <w:tcBorders>
              <w:top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7,419</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32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97"/>
              </w:rPr>
              <w:t>(1)</w:t>
            </w:r>
          </w:p>
        </w:tc>
        <w:tc>
          <w:tcPr>
            <w:tcW w:w="320" w:type="dxa"/>
            <w:vAlign w:val="bottom"/>
            <w:tcBorders>
              <w:top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w:t>
            </w:r>
          </w:p>
        </w:tc>
        <w:tc>
          <w:tcPr>
            <w:tcW w:w="40" w:type="dxa"/>
            <w:vAlign w:val="bottom"/>
            <w:tcBorders>
              <w:top w:val="single" w:sz="8" w:color="auto"/>
            </w:tcBorders>
            <w:shd w:val="clear" w:color="auto" w:fill="CCEEFF"/>
          </w:tcPr>
          <w:p>
            <w:pPr>
              <w:spacing w:after="0"/>
              <w:rPr>
                <w:sz w:val="17"/>
                <w:szCs w:val="17"/>
                <w:color w:val="auto"/>
              </w:rPr>
            </w:pP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infrastructure</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7,521</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7,521</w:t>
            </w:r>
          </w:p>
        </w:tc>
        <w:tc>
          <w:tcPr>
            <w:tcW w:w="40" w:type="dxa"/>
            <w:vAlign w:val="bottom"/>
          </w:tcPr>
          <w:p>
            <w:pPr>
              <w:spacing w:after="0"/>
              <w:rPr>
                <w:sz w:val="16"/>
                <w:szCs w:val="16"/>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 and occupancy</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w:t>
            </w:r>
          </w:p>
        </w:tc>
        <w:tc>
          <w:tcPr>
            <w:tcW w:w="40" w:type="dxa"/>
            <w:vAlign w:val="bottom"/>
            <w:shd w:val="clear" w:color="auto" w:fill="CCEEFF"/>
          </w:tcPr>
          <w:p>
            <w:pPr>
              <w:spacing w:after="0"/>
              <w:rPr>
                <w:sz w:val="18"/>
                <w:szCs w:val="18"/>
                <w:color w:val="auto"/>
              </w:rPr>
            </w:pP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Travel and related expenses</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3,641</w:t>
            </w:r>
          </w:p>
        </w:tc>
        <w:tc>
          <w:tcPr>
            <w:tcW w:w="40" w:type="dxa"/>
            <w:vAlign w:val="bottom"/>
          </w:tcPr>
          <w:p>
            <w:pPr>
              <w:spacing w:after="0"/>
              <w:rPr>
                <w:sz w:val="16"/>
                <w:szCs w:val="16"/>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6,491</w:t>
            </w:r>
          </w:p>
        </w:tc>
        <w:tc>
          <w:tcPr>
            <w:tcW w:w="40" w:type="dxa"/>
            <w:vAlign w:val="bottom"/>
            <w:shd w:val="clear" w:color="auto" w:fill="CCEEFF"/>
          </w:tcPr>
          <w:p>
            <w:pPr>
              <w:spacing w:after="0"/>
              <w:rPr>
                <w:sz w:val="18"/>
                <w:szCs w:val="18"/>
                <w:color w:val="auto"/>
              </w:rPr>
            </w:pPr>
          </w:p>
        </w:tc>
      </w:tr>
      <w:tr>
        <w:trPr>
          <w:trHeight w:val="196"/>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(1,645) (2)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40" w:type="dxa"/>
            <w:vAlign w:val="bottom"/>
          </w:tcPr>
          <w:p>
            <w:pPr>
              <w:spacing w:after="0"/>
              <w:rPr>
                <w:sz w:val="17"/>
                <w:szCs w:val="17"/>
                <w:color w:val="auto"/>
              </w:rPr>
            </w:pPr>
          </w:p>
        </w:tc>
      </w:tr>
      <w:tr>
        <w:trPr>
          <w:trHeight w:val="228"/>
        </w:trPr>
        <w:tc>
          <w:tcPr>
            <w:tcW w:w="5140" w:type="dxa"/>
            <w:vAlign w:val="bottom"/>
            <w:tcBorders>
              <w:top w:val="single" w:sz="8" w:color="CCEEFF"/>
              <w:bottom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Non-compensation expense</w:t>
            </w:r>
          </w:p>
        </w:tc>
        <w:tc>
          <w:tcPr>
            <w:tcW w:w="1160" w:type="dxa"/>
            <w:vAlign w:val="bottom"/>
            <w:tcBorders>
              <w:top w:val="single" w:sz="8" w:color="auto"/>
              <w:bottom w:val="single" w:sz="8" w:color="auto"/>
            </w:tcBorders>
            <w:shd w:val="clear" w:color="auto" w:fill="CCEEFF"/>
          </w:tcPr>
          <w:p>
            <w:pPr>
              <w:jc w:val="right"/>
              <w:ind w:right="10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33,103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3"/>
              </w:rPr>
              <w:t>31,031</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20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1160" w:type="dxa"/>
            <w:vAlign w:val="bottom"/>
            <w:tcBorders>
              <w:top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12,220</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32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97"/>
              </w:rPr>
              <w:t>(1)</w:t>
            </w:r>
          </w:p>
        </w:tc>
        <w:tc>
          <w:tcPr>
            <w:tcW w:w="320" w:type="dxa"/>
            <w:vAlign w:val="bottom"/>
            <w:tcBorders>
              <w:top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9,278</w:t>
            </w:r>
          </w:p>
        </w:tc>
        <w:tc>
          <w:tcPr>
            <w:tcW w:w="40" w:type="dxa"/>
            <w:vAlign w:val="bottom"/>
            <w:tcBorders>
              <w:top w:val="single" w:sz="8" w:color="auto"/>
            </w:tcBorders>
            <w:shd w:val="clear" w:color="auto" w:fill="CCEEFF"/>
          </w:tcPr>
          <w:p>
            <w:pPr>
              <w:spacing w:after="0"/>
              <w:rPr>
                <w:sz w:val="17"/>
                <w:szCs w:val="17"/>
                <w:color w:val="auto"/>
              </w:rPr>
            </w:pP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infrastructure</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7,141</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7,141</w:t>
            </w:r>
          </w:p>
        </w:tc>
        <w:tc>
          <w:tcPr>
            <w:tcW w:w="40" w:type="dxa"/>
            <w:vAlign w:val="bottom"/>
          </w:tcPr>
          <w:p>
            <w:pPr>
              <w:spacing w:after="0"/>
              <w:rPr>
                <w:sz w:val="16"/>
                <w:szCs w:val="16"/>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 and occupancy</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w:t>
            </w:r>
          </w:p>
        </w:tc>
        <w:tc>
          <w:tcPr>
            <w:tcW w:w="40" w:type="dxa"/>
            <w:vAlign w:val="bottom"/>
            <w:shd w:val="clear" w:color="auto" w:fill="CCEEFF"/>
          </w:tcPr>
          <w:p>
            <w:pPr>
              <w:spacing w:after="0"/>
              <w:rPr>
                <w:sz w:val="18"/>
                <w:szCs w:val="18"/>
                <w:color w:val="auto"/>
              </w:rPr>
            </w:pP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Travel and related expenses</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40" w:type="dxa"/>
            <w:vAlign w:val="bottom"/>
          </w:tcPr>
          <w:p>
            <w:pPr>
              <w:spacing w:after="0"/>
              <w:rPr>
                <w:sz w:val="16"/>
                <w:szCs w:val="16"/>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3,674</w:t>
            </w:r>
          </w:p>
        </w:tc>
        <w:tc>
          <w:tcPr>
            <w:tcW w:w="40" w:type="dxa"/>
            <w:vAlign w:val="bottom"/>
            <w:shd w:val="clear" w:color="auto" w:fill="CCEEFF"/>
          </w:tcPr>
          <w:p>
            <w:pPr>
              <w:spacing w:after="0"/>
              <w:rPr>
                <w:sz w:val="18"/>
                <w:szCs w:val="18"/>
                <w:color w:val="auto"/>
              </w:rPr>
            </w:pPr>
          </w:p>
        </w:tc>
      </w:tr>
      <w:tr>
        <w:trPr>
          <w:trHeight w:val="196"/>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(1,645) (2)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2,077</w:t>
            </w:r>
          </w:p>
        </w:tc>
        <w:tc>
          <w:tcPr>
            <w:tcW w:w="40" w:type="dxa"/>
            <w:vAlign w:val="bottom"/>
          </w:tcPr>
          <w:p>
            <w:pPr>
              <w:spacing w:after="0"/>
              <w:rPr>
                <w:sz w:val="17"/>
                <w:szCs w:val="17"/>
                <w:color w:val="auto"/>
              </w:rPr>
            </w:pPr>
          </w:p>
        </w:tc>
      </w:tr>
      <w:tr>
        <w:trPr>
          <w:trHeight w:val="228"/>
        </w:trPr>
        <w:tc>
          <w:tcPr>
            <w:tcW w:w="5140" w:type="dxa"/>
            <w:vAlign w:val="bottom"/>
            <w:tcBorders>
              <w:top w:val="single" w:sz="8" w:color="CCEEFF"/>
              <w:bottom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Non-compensation expense</w:t>
            </w:r>
          </w:p>
        </w:tc>
        <w:tc>
          <w:tcPr>
            <w:tcW w:w="1160" w:type="dxa"/>
            <w:vAlign w:val="bottom"/>
            <w:tcBorders>
              <w:top w:val="single" w:sz="8" w:color="auto"/>
              <w:bottom w:val="single" w:sz="8" w:color="auto"/>
            </w:tcBorders>
            <w:shd w:val="clear" w:color="auto" w:fill="CCEEFF"/>
          </w:tcPr>
          <w:p>
            <w:pPr>
              <w:jc w:val="right"/>
              <w:ind w:right="10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34,565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(4,587)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3"/>
              </w:rPr>
              <w:t>29,978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2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20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1160" w:type="dxa"/>
            <w:vAlign w:val="bottom"/>
            <w:tcBorders>
              <w:top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17,722</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32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97"/>
              </w:rPr>
              <w:t>(1)</w:t>
            </w:r>
          </w:p>
        </w:tc>
        <w:tc>
          <w:tcPr>
            <w:tcW w:w="320" w:type="dxa"/>
            <w:vAlign w:val="bottom"/>
            <w:tcBorders>
              <w:top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17,008</w:t>
            </w:r>
          </w:p>
        </w:tc>
        <w:tc>
          <w:tcPr>
            <w:tcW w:w="40" w:type="dxa"/>
            <w:vAlign w:val="bottom"/>
            <w:tcBorders>
              <w:top w:val="single" w:sz="8" w:color="auto"/>
            </w:tcBorders>
            <w:shd w:val="clear" w:color="auto" w:fill="CCEEFF"/>
          </w:tcPr>
          <w:p>
            <w:pPr>
              <w:spacing w:after="0"/>
              <w:rPr>
                <w:sz w:val="17"/>
                <w:szCs w:val="17"/>
                <w:color w:val="auto"/>
              </w:rPr>
            </w:pP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infrastructure</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15,077</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15,077</w:t>
            </w:r>
          </w:p>
        </w:tc>
        <w:tc>
          <w:tcPr>
            <w:tcW w:w="40" w:type="dxa"/>
            <w:vAlign w:val="bottom"/>
          </w:tcPr>
          <w:p>
            <w:pPr>
              <w:spacing w:after="0"/>
              <w:rPr>
                <w:sz w:val="16"/>
                <w:szCs w:val="16"/>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 and occupancy</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11,107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11,107</w:t>
            </w:r>
          </w:p>
        </w:tc>
        <w:tc>
          <w:tcPr>
            <w:tcW w:w="40" w:type="dxa"/>
            <w:vAlign w:val="bottom"/>
            <w:shd w:val="clear" w:color="auto" w:fill="CCEEFF"/>
          </w:tcPr>
          <w:p>
            <w:pPr>
              <w:spacing w:after="0"/>
              <w:rPr>
                <w:sz w:val="18"/>
                <w:szCs w:val="18"/>
                <w:color w:val="auto"/>
              </w:rPr>
            </w:pP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Travel and related expenses</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5,935</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5,935</w:t>
            </w:r>
          </w:p>
        </w:tc>
        <w:tc>
          <w:tcPr>
            <w:tcW w:w="40" w:type="dxa"/>
            <w:vAlign w:val="bottom"/>
          </w:tcPr>
          <w:p>
            <w:pPr>
              <w:spacing w:after="0"/>
              <w:rPr>
                <w:sz w:val="16"/>
                <w:szCs w:val="16"/>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11,766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11,766</w:t>
            </w:r>
          </w:p>
        </w:tc>
        <w:tc>
          <w:tcPr>
            <w:tcW w:w="40" w:type="dxa"/>
            <w:vAlign w:val="bottom"/>
            <w:shd w:val="clear" w:color="auto" w:fill="CCEEFF"/>
          </w:tcPr>
          <w:p>
            <w:pPr>
              <w:spacing w:after="0"/>
              <w:rPr>
                <w:sz w:val="18"/>
                <w:szCs w:val="18"/>
                <w:color w:val="auto"/>
              </w:rPr>
            </w:pPr>
          </w:p>
        </w:tc>
      </w:tr>
      <w:tr>
        <w:trPr>
          <w:trHeight w:val="206"/>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5,596</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(3,290) (2)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40" w:type="dxa"/>
            <w:vAlign w:val="bottom"/>
          </w:tcPr>
          <w:p>
            <w:pPr>
              <w:spacing w:after="0"/>
              <w:rPr>
                <w:sz w:val="17"/>
                <w:szCs w:val="17"/>
                <w:color w:val="auto"/>
              </w:rPr>
            </w:pPr>
          </w:p>
        </w:tc>
      </w:tr>
      <w:tr>
        <w:trPr>
          <w:trHeight w:val="23"/>
        </w:trPr>
        <w:tc>
          <w:tcPr>
            <w:tcW w:w="5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21"/>
        </w:trPr>
        <w:tc>
          <w:tcPr>
            <w:tcW w:w="5140" w:type="dxa"/>
            <w:vAlign w:val="bottom"/>
            <w:tcBorders>
              <w:bottom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Non-compensation expense</w:t>
            </w:r>
          </w:p>
        </w:tc>
        <w:tc>
          <w:tcPr>
            <w:tcW w:w="1160" w:type="dxa"/>
            <w:vAlign w:val="bottom"/>
            <w:tcBorders>
              <w:bottom w:val="single" w:sz="8" w:color="CCEEFF"/>
            </w:tcBorders>
            <w:shd w:val="clear" w:color="auto" w:fill="CCEEFF"/>
          </w:tcPr>
          <w:p>
            <w:pPr>
              <w:jc w:val="right"/>
              <w:ind w:right="10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67,203</w:t>
            </w:r>
          </w:p>
        </w:tc>
        <w:tc>
          <w:tcPr>
            <w:tcW w:w="3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(4,004)</w:t>
            </w: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3"/>
              </w:rPr>
              <w:t>63,199</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2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20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1160" w:type="dxa"/>
            <w:vAlign w:val="bottom"/>
            <w:tcBorders>
              <w:top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17,948</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32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97"/>
              </w:rPr>
              <w:t>(1)</w:t>
            </w:r>
          </w:p>
        </w:tc>
        <w:tc>
          <w:tcPr>
            <w:tcW w:w="320" w:type="dxa"/>
            <w:vAlign w:val="bottom"/>
            <w:tcBorders>
              <w:top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15,006</w:t>
            </w:r>
          </w:p>
        </w:tc>
        <w:tc>
          <w:tcPr>
            <w:tcW w:w="40" w:type="dxa"/>
            <w:vAlign w:val="bottom"/>
            <w:tcBorders>
              <w:top w:val="single" w:sz="8" w:color="auto"/>
            </w:tcBorders>
            <w:shd w:val="clear" w:color="auto" w:fill="CCEEFF"/>
          </w:tcPr>
          <w:p>
            <w:pPr>
              <w:spacing w:after="0"/>
              <w:rPr>
                <w:sz w:val="17"/>
                <w:szCs w:val="17"/>
                <w:color w:val="auto"/>
              </w:rPr>
            </w:pP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infrastructure</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14,097</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14,097</w:t>
            </w:r>
          </w:p>
        </w:tc>
        <w:tc>
          <w:tcPr>
            <w:tcW w:w="40" w:type="dxa"/>
            <w:vAlign w:val="bottom"/>
          </w:tcPr>
          <w:p>
            <w:pPr>
              <w:spacing w:after="0"/>
              <w:rPr>
                <w:sz w:val="16"/>
                <w:szCs w:val="16"/>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 and occupancy</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13,295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13,295</w:t>
            </w:r>
          </w:p>
        </w:tc>
        <w:tc>
          <w:tcPr>
            <w:tcW w:w="40" w:type="dxa"/>
            <w:vAlign w:val="bottom"/>
            <w:shd w:val="clear" w:color="auto" w:fill="CCEEFF"/>
          </w:tcPr>
          <w:p>
            <w:pPr>
              <w:spacing w:after="0"/>
              <w:rPr>
                <w:sz w:val="18"/>
                <w:szCs w:val="18"/>
                <w:color w:val="auto"/>
              </w:rPr>
            </w:pP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Travel and related expenses</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40" w:type="dxa"/>
            <w:vAlign w:val="bottom"/>
          </w:tcPr>
          <w:p>
            <w:pPr>
              <w:spacing w:after="0"/>
              <w:rPr>
                <w:sz w:val="16"/>
                <w:szCs w:val="16"/>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40" w:type="dxa"/>
            <w:vAlign w:val="bottom"/>
            <w:shd w:val="clear" w:color="auto" w:fill="CCEEFF"/>
          </w:tcPr>
          <w:p>
            <w:pPr>
              <w:spacing w:after="0"/>
              <w:rPr>
                <w:sz w:val="18"/>
                <w:szCs w:val="18"/>
                <w:color w:val="auto"/>
              </w:rPr>
            </w:pPr>
          </w:p>
        </w:tc>
      </w:tr>
      <w:tr>
        <w:trPr>
          <w:trHeight w:val="196"/>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7,602</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(3,290) (2)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4,312</w:t>
            </w:r>
          </w:p>
        </w:tc>
        <w:tc>
          <w:tcPr>
            <w:tcW w:w="40" w:type="dxa"/>
            <w:vAlign w:val="bottom"/>
          </w:tcPr>
          <w:p>
            <w:pPr>
              <w:spacing w:after="0"/>
              <w:rPr>
                <w:sz w:val="17"/>
                <w:szCs w:val="17"/>
                <w:color w:val="auto"/>
              </w:rPr>
            </w:pPr>
          </w:p>
        </w:tc>
      </w:tr>
      <w:tr>
        <w:trPr>
          <w:trHeight w:val="228"/>
        </w:trPr>
        <w:tc>
          <w:tcPr>
            <w:tcW w:w="5140" w:type="dxa"/>
            <w:vAlign w:val="bottom"/>
            <w:tcBorders>
              <w:top w:val="single" w:sz="8" w:color="CCEEFF"/>
              <w:bottom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Non-compensation expense</w:t>
            </w:r>
          </w:p>
        </w:tc>
        <w:tc>
          <w:tcPr>
            <w:tcW w:w="1160" w:type="dxa"/>
            <w:vAlign w:val="bottom"/>
            <w:tcBorders>
              <w:top w:val="single" w:sz="8" w:color="auto"/>
              <w:bottom w:val="single" w:sz="8" w:color="auto"/>
            </w:tcBorders>
            <w:shd w:val="clear" w:color="auto" w:fill="CCEEFF"/>
          </w:tcPr>
          <w:p>
            <w:pPr>
              <w:jc w:val="right"/>
              <w:ind w:right="10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60,696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(6,232)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3"/>
              </w:rPr>
              <w:t>54,464</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400" w:hanging="226"/>
        <w:spacing w:after="0"/>
        <w:tabs>
          <w:tab w:leader="none" w:pos="40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an adjustment to exclude transaction costs associated with the Business Combination and the Warrant Exchange.</w:t>
      </w:r>
    </w:p>
    <w:p>
      <w:pPr>
        <w:spacing w:after="0" w:line="221" w:lineRule="exact"/>
        <w:rPr>
          <w:rFonts w:ascii="Times New Roman" w:cs="Times New Roman" w:eastAsia="Times New Roman" w:hAnsi="Times New Roman"/>
          <w:sz w:val="16"/>
          <w:szCs w:val="16"/>
          <w:color w:val="auto"/>
        </w:rPr>
      </w:pPr>
    </w:p>
    <w:p>
      <w:pPr>
        <w:ind w:left="400" w:hanging="226"/>
        <w:spacing w:after="0"/>
        <w:tabs>
          <w:tab w:leader="none" w:pos="40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an adjustment to exclude the amortization of intangible assets related to the TPH business combination.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90" w:lineRule="exact"/>
        <w:rPr>
          <w:rFonts w:ascii="Times New Roman" w:cs="Times New Roman" w:eastAsia="Times New Roman" w:hAnsi="Times New Roman"/>
          <w:sz w:val="16"/>
          <w:szCs w:val="16"/>
          <w:color w:val="auto"/>
        </w:rPr>
      </w:pPr>
    </w:p>
    <w:p>
      <w:pPr>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 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888"/>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2022-08-04T07:18:18Z</dcterms:created>
  <dcterms:modified xsi:type="dcterms:W3CDTF">2022-08-04T07:18:18Z</dcterms:modified>
</cp:coreProperties>
</file>