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4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001-39558</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PERELLA WEINBERG PARTNERS</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tbl>
      <w:tblPr>
        <w:tblW w:w="3673" w:type="dxa"/>
        <w:jc w:val="left"/>
        <w:tblInd w:w="0" w:type="dxa"/>
        <w:tblLayout w:type="fixed"/>
        <w:tblCellMar>
          <w:top w:w="28" w:type="dxa"/>
          <w:left w:w="28" w:type="dxa"/>
          <w:bottom w:w="28" w:type="dxa"/>
          <w:right w:w="28" w:type="dxa"/>
        </w:tblCellMar>
      </w:tblPr>
      <w:tblGrid>
        <w:gridCol w:w="879"/>
        <w:gridCol w:w="770"/>
        <w:gridCol w:w="780"/>
        <w:gridCol w:w="363"/>
        <w:gridCol w:w="363"/>
        <w:gridCol w:w="518"/>
      </w:tblGrid>
      <w:tr>
        <w:trPr/>
        <w:tc>
          <w:tcPr>
            <w:tcW w:w="87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84-1770732</w:t>
            </w:r>
          </w:p>
        </w:tc>
      </w:tr>
      <w:tr>
        <w:trPr/>
        <w:tc>
          <w:tcPr>
            <w:tcW w:w="2429" w:type="dxa"/>
            <w:gridSpan w:val="3"/>
            <w:tcBorders/>
            <w:tcMar>
              <w:top w:w="0" w:type="dxa"/>
              <w:left w:w="0" w:type="dxa"/>
              <w:bottom w:w="0" w:type="dxa"/>
              <w:right w:w="0" w:type="dxa"/>
            </w:tcMar>
            <w:vAlign w:val="center"/>
          </w:tcPr>
          <w:p>
            <w:pPr>
              <w:pStyle w:val="TableContents"/>
              <w:bidi w:val="0"/>
              <w:spacing w:lineRule="auto" w:line="362" w:before="75" w:after="283"/>
              <w:ind w:left="0" w:right="0" w:firstLine="36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362" w:before="14" w:after="30"/>
              <w:ind w:left="0" w:right="0" w:firstLine="36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362" w:before="75" w:after="283"/>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362" w:before="14" w:after="3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767 Fifth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10153</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287-3200</w:t>
      </w:r>
    </w:p>
    <w:p>
      <w:pPr>
        <w:pStyle w:val="TextBody"/>
        <w:bidi w:val="0"/>
        <w:spacing w:lineRule="auto" w:line="288" w:before="6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_____________________________________________________________________________________________________________________________________________________________________</w:t>
      </w:r>
    </w:p>
    <w:p>
      <w:pPr>
        <w:pStyle w:val="TextBody"/>
        <w:bidi w:val="0"/>
        <w:spacing w:lineRule="auto" w:line="288" w:before="40" w:after="12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9321" w:type="dxa"/>
        <w:jc w:val="left"/>
        <w:tblInd w:w="0" w:type="dxa"/>
        <w:tblLayout w:type="fixed"/>
        <w:tblCellMar>
          <w:top w:w="28" w:type="dxa"/>
          <w:left w:w="28" w:type="dxa"/>
          <w:bottom w:w="28" w:type="dxa"/>
          <w:right w:w="28" w:type="dxa"/>
        </w:tblCellMar>
      </w:tblPr>
      <w:tblGrid>
        <w:gridCol w:w="1410"/>
        <w:gridCol w:w="1236"/>
        <w:gridCol w:w="1253"/>
        <w:gridCol w:w="109"/>
        <w:gridCol w:w="109"/>
        <w:gridCol w:w="109"/>
        <w:gridCol w:w="484"/>
        <w:gridCol w:w="484"/>
        <w:gridCol w:w="486"/>
        <w:gridCol w:w="109"/>
        <w:gridCol w:w="109"/>
        <w:gridCol w:w="109"/>
        <w:gridCol w:w="970"/>
        <w:gridCol w:w="970"/>
        <w:gridCol w:w="1374"/>
      </w:tblGrid>
      <w:tr>
        <w:trPr/>
        <w:tc>
          <w:tcPr>
            <w:tcW w:w="141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8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69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8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rFonts w:ascii="Wingdings;sans-serif" w:hAnsi="Wingdings;sans-serif"/>
          <w:b w:val="false"/>
          <w:color w:val="000000"/>
          <w:sz w:val="18"/>
        </w:rPr>
        <w:t>x</w:t>
      </w:r>
      <w:r>
        <w:rPr>
          <w:color w:val="000000"/>
        </w:rPr>
        <w:t xml:space="preserve"> </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As of July 28, 2026, the registrant had 74,019,967 shares of Class A common stock, par value $0.0001 per share, and 20,018,315 shares of Class B common stock, par value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7"/>
        <w:gridCol w:w="251"/>
        <w:gridCol w:w="253"/>
        <w:gridCol w:w="2945"/>
        <w:gridCol w:w="2945"/>
        <w:gridCol w:w="2950"/>
        <w:gridCol w:w="167"/>
        <w:gridCol w:w="167"/>
        <w:gridCol w:w="240"/>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3">
              <w:r>
                <w:rPr>
                  <w:rStyle w:val="InternetLink"/>
                  <w:rFonts w:ascii="Times New Roman;serif" w:hAnsi="Times New Roman;serif"/>
                  <w:b/>
                  <w:color w:val="0000FF"/>
                  <w:sz w:val="20"/>
                  <w:u w:val="single"/>
                </w:rPr>
                <w:t>PART I.</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3">
              <w:r>
                <w:rPr>
                  <w:rStyle w:val="InternetLink"/>
                  <w:rFonts w:ascii="Times New Roman;serif" w:hAnsi="Times New Roman;serif"/>
                  <w:b/>
                  <w:color w:val="0000FF"/>
                  <w:sz w:val="20"/>
                  <w:u w:val="single"/>
                </w:rPr>
                <w:t>FINANCIAL INFORMATION</w:t>
              </w:r>
            </w:hyperlink>
          </w:p>
        </w:tc>
        <w:tc>
          <w:tcPr>
            <w:tcW w:w="5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6">
              <w:r>
                <w:rPr>
                  <w:rStyle w:val="InternetLink"/>
                  <w:rFonts w:ascii="Times New Roman;serif" w:hAnsi="Times New Roman;serif"/>
                  <w:b w:val="false"/>
                  <w:color w:val="0000FF"/>
                  <w:sz w:val="20"/>
                  <w:u w:val="single"/>
                </w:rPr>
                <w:t>Item 1.</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6">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6">
              <w:r>
                <w:rPr>
                  <w:rStyle w:val="InternetLink"/>
                  <w:rFonts w:ascii="Times New Roman;serif" w:hAnsi="Times New Roman;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9">
              <w:r>
                <w:rPr>
                  <w:rStyle w:val="InternetLink"/>
                  <w:rFonts w:ascii="Times New Roman;serif" w:hAnsi="Times New Roman;serif"/>
                  <w:b w:val="false"/>
                  <w:color w:val="0000FF"/>
                  <w:sz w:val="20"/>
                  <w:u w:val="single"/>
                </w:rPr>
                <w:t>Condensed Consolidated Statements of Financial Condition as of June 30,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9">
              <w:r>
                <w:rPr>
                  <w:rStyle w:val="InternetLink"/>
                  <w:rFonts w:ascii="Times New Roman;serif" w:hAnsi="Times New Roman;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22">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22">
              <w:r>
                <w:rPr>
                  <w:rStyle w:val="InternetLink"/>
                  <w:rFonts w:ascii="Times New Roman;serif" w:hAnsi="Times New Roman;serif"/>
                  <w:b w:val="false"/>
                  <w:color w:val="0000FF"/>
                  <w:sz w:val="20"/>
                  <w:u w:val="single"/>
                </w:rPr>
                <w:t>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25">
              <w:r>
                <w:rPr>
                  <w:rStyle w:val="InternetLink"/>
                  <w:rFonts w:ascii="Times New Roman;serif" w:hAnsi="Times New Roman;serif"/>
                  <w:b w:val="false"/>
                  <w:color w:val="0000FF"/>
                  <w:sz w:val="20"/>
                  <w:u w:val="single"/>
                </w:rPr>
                <w:t>Condensed Consolidated Statements of Comprehensive Income (Loss) for the Three and Six Months Ended June 30, 2026 and 2025</w:t>
              </w:r>
            </w:hyperlink>
            <w:r>
              <w:rPr>
                <w:color w:val="000000"/>
              </w:rPr>
              <w:t xml:space="preserve"> </w:t>
            </w:r>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25">
              <w:r>
                <w:rPr>
                  <w:rStyle w:val="InternetLink"/>
                  <w:rFonts w:ascii="Times New Roman;serif" w:hAnsi="Times New Roman;serif"/>
                  <w:b w:val="false"/>
                  <w:color w:val="0000FF"/>
                  <w:sz w:val="20"/>
                  <w:u w:val="single"/>
                </w:rPr>
                <w:t>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28">
              <w:r>
                <w:rPr>
                  <w:rStyle w:val="InternetLink"/>
                  <w:rFonts w:ascii="Times New Roman;serif" w:hAnsi="Times New Roman;serif"/>
                  <w:b w:val="false"/>
                  <w:color w:val="0000FF"/>
                  <w:sz w:val="20"/>
                  <w:u w:val="single"/>
                </w:rPr>
                <w:t>Condensed Consolidated Statements of Changes in Equity and Redeemable Non-Controlling Interests for the Three and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28">
              <w:r>
                <w:rPr>
                  <w:rStyle w:val="InternetLink"/>
                  <w:rFonts w:ascii="Times New Roman;serif" w:hAnsi="Times New Roman;serif"/>
                  <w:b w:val="false"/>
                  <w:color w:val="0000FF"/>
                  <w:sz w:val="20"/>
                  <w:u w:val="single"/>
                </w:rPr>
                <w:t>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34">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34">
              <w:r>
                <w:rPr>
                  <w:rStyle w:val="InternetLink"/>
                  <w:rFonts w:ascii="Times New Roman;serif" w:hAnsi="Times New Roman;serif"/>
                  <w:b w:val="false"/>
                  <w:color w:val="0000FF"/>
                  <w:sz w:val="20"/>
                  <w:u w:val="single"/>
                </w:rPr>
                <w:t>8</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40">
              <w:r>
                <w:rPr>
                  <w:rStyle w:val="InternetLink"/>
                  <w:rFonts w:ascii="Times New Roman;serif" w:hAnsi="Times New Roman;serif"/>
                  <w:b w:val="false"/>
                  <w:color w:val="0000FF"/>
                  <w:sz w:val="20"/>
                  <w:u w:val="single"/>
                </w:rPr>
                <w:t>Notes to 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40">
              <w:r>
                <w:rPr>
                  <w:rStyle w:val="InternetLink"/>
                  <w:rFonts w:ascii="Times New Roman;serif" w:hAnsi="Times New Roman;serif"/>
                  <w:b w:val="false"/>
                  <w:color w:val="0000FF"/>
                  <w:sz w:val="20"/>
                  <w:u w:val="single"/>
                </w:rPr>
                <w:t>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18">
              <w:r>
                <w:rPr>
                  <w:rStyle w:val="InternetLink"/>
                  <w:rFonts w:ascii="Times New Roman;serif" w:hAnsi="Times New Roman;serif"/>
                  <w:b w:val="false"/>
                  <w:color w:val="0000FF"/>
                  <w:sz w:val="20"/>
                  <w:u w:val="single"/>
                </w:rPr>
                <w:t>Item 2.</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18">
              <w:r>
                <w:rPr>
                  <w:rStyle w:val="InternetLink"/>
                  <w:rFonts w:ascii="Times New Roman;serif" w:hAnsi="Times New Roman;serif"/>
                  <w:b w:val="false"/>
                  <w:color w:val="0000FF"/>
                  <w:sz w:val="20"/>
                  <w:u w:val="single"/>
                </w:rPr>
                <w:t>24</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42">
              <w:r>
                <w:rPr>
                  <w:rStyle w:val="InternetLink"/>
                  <w:rFonts w:ascii="Times New Roman;serif" w:hAnsi="Times New Roman;serif"/>
                  <w:b w:val="false"/>
                  <w:color w:val="0000FF"/>
                  <w:sz w:val="20"/>
                  <w:u w:val="single"/>
                </w:rPr>
                <w:t>Item 3.</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42">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42">
              <w:r>
                <w:rPr>
                  <w:rStyle w:val="InternetLink"/>
                  <w:rFonts w:ascii="Times New Roman;serif" w:hAnsi="Times New Roman;serif"/>
                  <w:b w:val="false"/>
                  <w:color w:val="0000FF"/>
                  <w:sz w:val="20"/>
                  <w:u w:val="single"/>
                </w:rPr>
                <w:t>31</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45">
              <w:r>
                <w:rPr>
                  <w:rStyle w:val="InternetLink"/>
                  <w:rFonts w:ascii="Times New Roman;serif" w:hAnsi="Times New Roman;serif"/>
                  <w:b w:val="false"/>
                  <w:color w:val="0000FF"/>
                  <w:sz w:val="20"/>
                  <w:u w:val="single"/>
                </w:rPr>
                <w:t>Item 4.</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45">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45">
              <w:r>
                <w:rPr>
                  <w:rStyle w:val="InternetLink"/>
                  <w:rFonts w:ascii="Times New Roman;serif" w:hAnsi="Times New Roman;serif"/>
                  <w:b w:val="false"/>
                  <w:color w:val="0000FF"/>
                  <w:sz w:val="20"/>
                  <w:u w:val="single"/>
                </w:rPr>
                <w:t>31</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48">
              <w:r>
                <w:rPr>
                  <w:rStyle w:val="InternetLink"/>
                  <w:rFonts w:ascii="Times New Roman;serif" w:hAnsi="Times New Roman;serif"/>
                  <w:b/>
                  <w:color w:val="0000FF"/>
                  <w:sz w:val="20"/>
                  <w:u w:val="single"/>
                </w:rPr>
                <w:t>PART II.</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48">
              <w:r>
                <w:rPr>
                  <w:rStyle w:val="InternetLink"/>
                  <w:rFonts w:ascii="Times New Roman;serif" w:hAnsi="Times New Roman;serif"/>
                  <w:b/>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51">
              <w:r>
                <w:rPr>
                  <w:rStyle w:val="InternetLink"/>
                  <w:rFonts w:ascii="Times New Roman;serif" w:hAnsi="Times New Roman;serif"/>
                  <w:b w:val="false"/>
                  <w:color w:val="0000FF"/>
                  <w:sz w:val="20"/>
                  <w:u w:val="single"/>
                </w:rPr>
                <w:t>Item 1.</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51">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51">
              <w:r>
                <w:rPr>
                  <w:rStyle w:val="InternetLink"/>
                  <w:rFonts w:ascii="Times New Roman;serif" w:hAnsi="Times New Roman;serif"/>
                  <w:b w:val="false"/>
                  <w:color w:val="0000FF"/>
                  <w:sz w:val="20"/>
                  <w:u w:val="single"/>
                </w:rPr>
                <w:t>32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54">
              <w:r>
                <w:rPr>
                  <w:rStyle w:val="InternetLink"/>
                  <w:rFonts w:ascii="Times New Roman;serif" w:hAnsi="Times New Roman;serif"/>
                  <w:b w:val="false"/>
                  <w:color w:val="0000FF"/>
                  <w:sz w:val="20"/>
                  <w:u w:val="single"/>
                </w:rPr>
                <w:t>Item 1A.</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54">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54">
              <w:r>
                <w:rPr>
                  <w:rStyle w:val="InternetLink"/>
                  <w:rFonts w:ascii="Times New Roman;serif" w:hAnsi="Times New Roman;serif"/>
                  <w:b w:val="false"/>
                  <w:color w:val="0000FF"/>
                  <w:sz w:val="20"/>
                  <w:u w:val="single"/>
                </w:rPr>
                <w:t>32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57">
              <w:r>
                <w:rPr>
                  <w:rStyle w:val="InternetLink"/>
                  <w:rFonts w:ascii="Times New Roman;serif" w:hAnsi="Times New Roman;serif"/>
                  <w:b w:val="false"/>
                  <w:color w:val="0000FF"/>
                  <w:sz w:val="20"/>
                  <w:u w:val="single"/>
                </w:rPr>
                <w:t>Item 2.</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57">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57">
              <w:r>
                <w:rPr>
                  <w:rStyle w:val="InternetLink"/>
                  <w:rFonts w:ascii="Times New Roman;serif" w:hAnsi="Times New Roman;serif"/>
                  <w:b w:val="false"/>
                  <w:color w:val="0000FF"/>
                  <w:sz w:val="20"/>
                  <w:u w:val="single"/>
                </w:rPr>
                <w:t>32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63">
              <w:r>
                <w:rPr>
                  <w:rStyle w:val="InternetLink"/>
                  <w:rFonts w:ascii="Times New Roman;serif" w:hAnsi="Times New Roman;serif"/>
                  <w:b w:val="false"/>
                  <w:color w:val="0000FF"/>
                  <w:sz w:val="20"/>
                  <w:u w:val="single"/>
                </w:rPr>
                <w:t>Item 3.</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63">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63">
              <w:r>
                <w:rPr>
                  <w:rStyle w:val="InternetLink"/>
                  <w:rFonts w:ascii="Times New Roman;serif" w:hAnsi="Times New Roman;serif"/>
                  <w:b w:val="false"/>
                  <w:color w:val="0000FF"/>
                  <w:sz w:val="20"/>
                  <w:u w:val="single"/>
                </w:rPr>
                <w:t>32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66">
              <w:r>
                <w:rPr>
                  <w:rStyle w:val="InternetLink"/>
                  <w:rFonts w:ascii="Times New Roman;serif" w:hAnsi="Times New Roman;serif"/>
                  <w:b w:val="false"/>
                  <w:color w:val="0000FF"/>
                  <w:sz w:val="20"/>
                  <w:u w:val="single"/>
                </w:rPr>
                <w:t>Item 4.</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66">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66">
              <w:r>
                <w:rPr>
                  <w:rStyle w:val="InternetLink"/>
                  <w:rFonts w:ascii="Times New Roman;serif" w:hAnsi="Times New Roman;serif"/>
                  <w:b w:val="false"/>
                  <w:color w:val="0000FF"/>
                  <w:sz w:val="20"/>
                  <w:u w:val="single"/>
                </w:rPr>
                <w:t>32</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69">
              <w:r>
                <w:rPr>
                  <w:rStyle w:val="InternetLink"/>
                  <w:rFonts w:ascii="Times New Roman;serif" w:hAnsi="Times New Roman;serif"/>
                  <w:b w:val="false"/>
                  <w:color w:val="0000FF"/>
                  <w:sz w:val="20"/>
                  <w:u w:val="single"/>
                </w:rPr>
                <w:t>Item 5.</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69">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69">
              <w:r>
                <w:rPr>
                  <w:rStyle w:val="InternetLink"/>
                  <w:rFonts w:ascii="Times New Roman;serif" w:hAnsi="Times New Roman;serif"/>
                  <w:b w:val="false"/>
                  <w:color w:val="0000FF"/>
                  <w:sz w:val="20"/>
                  <w:u w:val="single"/>
                </w:rPr>
                <w:t>33</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75">
              <w:r>
                <w:rPr>
                  <w:rStyle w:val="InternetLink"/>
                  <w:rFonts w:ascii="Times New Roman;serif" w:hAnsi="Times New Roman;serif"/>
                  <w:b w:val="false"/>
                  <w:color w:val="0000FF"/>
                  <w:sz w:val="20"/>
                  <w:u w:val="single"/>
                </w:rPr>
                <w:t>Item 6.</w:t>
              </w:r>
            </w:hyperlink>
          </w:p>
        </w:tc>
        <w:tc>
          <w:tcPr>
            <w:tcW w:w="884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75">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75">
              <w:r>
                <w:rPr>
                  <w:rStyle w:val="InternetLink"/>
                  <w:rFonts w:ascii="Times New Roman;serif" w:hAnsi="Times New Roman;serif"/>
                  <w:b w:val="false"/>
                  <w:color w:val="0000FF"/>
                  <w:sz w:val="20"/>
                  <w:u w:val="single"/>
                </w:rPr>
                <w:t>33</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82f998ee54cb49e9963b64a40afa0e93_178">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82f998ee54cb49e9963b64a40afa0e93_178">
              <w:r>
                <w:rPr>
                  <w:rStyle w:val="InternetLink"/>
                  <w:rFonts w:ascii="Times New Roman;serif" w:hAnsi="Times New Roman;serif"/>
                  <w:b w:val="false"/>
                  <w:color w:val="0000FF"/>
                  <w:sz w:val="20"/>
                  <w:u w:val="single"/>
                </w:rPr>
                <w:t>34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24, 2021, Perella Weinberg Partners consummated a business combination (the “Business Combination”) pursuant to the Business Combination Agreement, dated as of December 29, 2020. Unless the context otherwise requires, all references to “PWP,” the “Company,” “we,” “us” or “our” refer to Perella Weinberg Partners and its consolidated subsidiaries.</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made in this Quarterly Report on Form 10-Q are “forward-looking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expectations for the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bidi w:val="0"/>
        <w:spacing w:lineRule="auto" w:line="240" w:before="240" w:after="240"/>
        <w:ind w:left="0" w:right="0" w:firstLine="360"/>
        <w:jc w:val="both"/>
        <w:rPr/>
      </w:pPr>
      <w:r>
        <w:rPr>
          <w:rFonts w:ascii="Times New Roman;serif" w:hAnsi="Times New Roman;serif"/>
          <w:b w:val="false"/>
          <w:color w:val="000000"/>
          <w:sz w:val="20"/>
        </w:rPr>
        <w:t>Important factors, among others, that may affect actual results or outcomes include (but are not limited to): changing market conditions; the 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 industry and U.S. and foreign regulatory developments relating to, among other things, financial institutions and markets, government oversight, fiscal and tax policy and laws; and other risks and uncertainties described under the section entitled “</w:t>
      </w:r>
      <w:r>
        <w:rPr>
          <w:rFonts w:ascii="Times New Roman;serif" w:hAnsi="Times New Roman;serif"/>
          <w:b w:val="false"/>
          <w:i/>
          <w:color w:val="000000"/>
          <w:sz w:val="20"/>
        </w:rPr>
        <w:t>Part I—Item 1A. Risk Factors</w:t>
      </w:r>
      <w:r>
        <w:rPr>
          <w:color w:val="000000"/>
        </w:rPr>
        <w:t xml:space="preserve">” </w:t>
      </w:r>
      <w:r>
        <w:rPr>
          <w:rFonts w:ascii="Times New Roman;serif" w:hAnsi="Times New Roman;serif"/>
          <w:b w:val="false"/>
          <w:color w:val="000000"/>
          <w:sz w:val="20"/>
        </w:rPr>
        <w:t>included in our Annual Report on Form 10-K.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Website Disclosure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pStyle w:val="TextBody"/>
        <w:bidi w:val="0"/>
        <w:spacing w:before="24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2"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10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Perella Weinberg Partners</w:t>
        <w:br/>
        <w:t>Condensed Consolidated Statements of Financial Condition</w:t>
        <w:br/>
        <w:t>(Unaudited)</w:t>
        <w:br/>
        <w:t>(Dollars in Thousands, Except Per Share and Per Unit Amounts)</w:t>
      </w:r>
    </w:p>
    <w:tbl>
      <w:tblPr>
        <w:tblW w:w="10205" w:type="dxa"/>
        <w:jc w:val="center"/>
        <w:tblInd w:w="0" w:type="dxa"/>
        <w:tblLayout w:type="fixed"/>
        <w:tblCellMar>
          <w:top w:w="28" w:type="dxa"/>
          <w:left w:w="28" w:type="dxa"/>
          <w:bottom w:w="28" w:type="dxa"/>
          <w:right w:w="28" w:type="dxa"/>
        </w:tblCellMar>
      </w:tblPr>
      <w:tblGrid>
        <w:gridCol w:w="2849"/>
        <w:gridCol w:w="2230"/>
        <w:gridCol w:w="2249"/>
        <w:gridCol w:w="217"/>
        <w:gridCol w:w="853"/>
        <w:gridCol w:w="112"/>
        <w:gridCol w:w="109"/>
        <w:gridCol w:w="109"/>
        <w:gridCol w:w="109"/>
        <w:gridCol w:w="241"/>
        <w:gridCol w:w="946"/>
        <w:gridCol w:w="181"/>
      </w:tblGrid>
      <w:tr>
        <w:trPr/>
        <w:tc>
          <w:tcPr>
            <w:tcW w:w="2849"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695" w:type="dxa"/>
            <w:gridSpan w:val="6"/>
            <w:tcBorders/>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32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115,847 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255,906 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36,234 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62,689 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 of accumulated depreciation and amortization</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72,566 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77,206 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of accumulated amortization</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72,691 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72,691 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46,776 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133,198 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138,495 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154,421 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129,581 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644,965 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797,637 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Liabilities, Redeemable Non-Controlling Interests, and Equity</w:t>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7"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54,934 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210,268 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40,775 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47,102 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179,279 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186,066 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Amount due pursuant to tax receivable agreement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105,625 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93,461 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380,613 </w:t>
            </w:r>
          </w:p>
        </w:tc>
        <w:tc>
          <w:tcPr>
            <w:tcW w:w="11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536,897 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18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 (20,018,315 units at redemption value of $15.49 per unit as of June 30, 2026; 22,139,506 units at redemption value of $17.53 per unit as of December 31, 2025)</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310,142 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388,099 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 (1,500,000,000 shares authorized, 87,839,777 issued and 73,766,370 outstanding at June 30, 2026; 1,500,000,000 shares authorized, 81,308,801 issued and 66,739,647 outstanding at December 31, 2025)</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$0.0001 per share (600,000,000 shares authorized, 20,018,315 issued and outstanding at June 30, 2026; 600,000,000 shares authorized, 22,139,506 issued and outstanding at December 31, 2025)</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$0.0001 per share (100,000,000 shares authorized, no shares issued and outstanding at June 30, 2026 and December 31, 2025)</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229,449 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144,197 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(136,635)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(130,596)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(14,073,407 and 14,569,154 shares of Class A common stock at June 30, 2026 and December 31, 2025, respectively)</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(134,657)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(138,449)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732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7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(45,790)</w:t>
            </w:r>
          </w:p>
        </w:tc>
        <w:tc>
          <w:tcPr>
            <w:tcW w:w="11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(127,359)</w:t>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8"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equity</w:t>
            </w:r>
          </w:p>
        </w:tc>
        <w:tc>
          <w:tcPr>
            <w:tcW w:w="21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644,965 </w:t>
            </w:r>
          </w:p>
        </w:tc>
        <w:tc>
          <w:tcPr>
            <w:tcW w:w="11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797,637 </w:t>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3370"/>
                <wp:effectExtent l="0" t="0" r="0" b="0"/>
                <wp:wrapNone/>
                <wp:docPr id="4" name="Frame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0"/>
        <w:gridCol w:w="1281"/>
        <w:gridCol w:w="1296"/>
        <w:gridCol w:w="240"/>
        <w:gridCol w:w="946"/>
        <w:gridCol w:w="109"/>
        <w:gridCol w:w="109"/>
        <w:gridCol w:w="109"/>
        <w:gridCol w:w="109"/>
        <w:gridCol w:w="219"/>
        <w:gridCol w:w="862"/>
        <w:gridCol w:w="109"/>
        <w:gridCol w:w="109"/>
        <w:gridCol w:w="109"/>
        <w:gridCol w:w="109"/>
        <w:gridCol w:w="240"/>
        <w:gridCol w:w="946"/>
        <w:gridCol w:w="109"/>
        <w:gridCol w:w="109"/>
        <w:gridCol w:w="109"/>
        <w:gridCol w:w="109"/>
        <w:gridCol w:w="219"/>
        <w:gridCol w:w="862"/>
        <w:gridCol w:w="156"/>
      </w:tblGrid>
      <w:tr>
        <w:trPr/>
        <w:tc>
          <w:tcPr>
            <w:tcW w:w="163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156,525 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155,267 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305,442 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367,098 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170,891 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w:t>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115,894 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108,314 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237,954 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257,558 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infrastructure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occupancy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151,470 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146,319 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313,288 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346,482 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(7,846)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20,616 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Non-operating income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income (expenses)</w:t>
            </w:r>
          </w:p>
        </w:tc>
        <w:tc>
          <w:tcPr>
            <w:tcW w:w="118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(4,558)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Perella Weinberg Partners</w:t>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Class A common shareholders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Weighted-average shares of Class A common stock outstanding</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74,162,048 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63,064,731 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72,290,670 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62,604,779 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101,732,555 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98,831,307 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101,897,486 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74,555,206 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3370"/>
                <wp:effectExtent l="0" t="0" r="0" b="0"/>
                <wp:wrapNone/>
                <wp:docPr id="5" name="Frame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011"/>
        <w:gridCol w:w="1652"/>
        <w:gridCol w:w="166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201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9,264 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33,393 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Perella Weinberg Partners</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25,549 </w:t>
            </w:r>
          </w:p>
        </w:tc>
        <w:tc>
          <w:tcPr>
            <w:tcW w:w="15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360"/>
        <w:jc w:val="center"/>
        <w:rPr/>
      </w:pPr>
      <w:r>
        <w:rPr/>
      </w:r>
    </w:p>
    <w:p>
      <w:pPr>
        <w:pStyle w:val="TextBody"/>
        <w:bidi w:val="0"/>
        <w:spacing w:before="240" w:after="240"/>
        <w:ind w:left="0" w:right="0" w:firstLine="360"/>
        <w:jc w:val="center"/>
        <w:rPr/>
      </w:pPr>
      <w:r>
        <w:rPr/>
      </w:r>
    </w:p>
    <w:p>
      <w:pPr>
        <w:pStyle w:val="TextBody"/>
        <w:bidi w:val="0"/>
        <w:spacing w:before="240" w:after="240"/>
        <w:ind w:left="0" w:right="0" w:firstLine="360"/>
        <w:jc w:val="center"/>
        <w:rPr/>
      </w:pPr>
      <w:r>
        <w:rPr/>
      </w:r>
    </w:p>
    <w:p>
      <w:pPr>
        <w:pStyle w:val="TextBody"/>
        <w:bidi w:val="0"/>
        <w:spacing w:before="240" w:after="240"/>
        <w:ind w:left="0" w:right="0" w:firstLine="360"/>
        <w:jc w:val="center"/>
        <w:rPr/>
      </w:pPr>
      <w:r>
        <w:rPr/>
      </w:r>
    </w:p>
    <w:p>
      <w:pPr>
        <w:pStyle w:val="TextBody"/>
        <w:bidi w:val="0"/>
        <w:spacing w:before="24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3370"/>
                <wp:effectExtent l="0" t="0" r="0" b="0"/>
                <wp:wrapNone/>
                <wp:docPr id="6" name="Frame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tbl>
      <w:tblPr>
        <w:tblW w:w="13388" w:type="dxa"/>
        <w:jc w:val="center"/>
        <w:tblInd w:w="0" w:type="dxa"/>
        <w:tblLayout w:type="fixed"/>
        <w:tblCellMar>
          <w:top w:w="28" w:type="dxa"/>
          <w:left w:w="28" w:type="dxa"/>
          <w:bottom w:w="28" w:type="dxa"/>
          <w:right w:w="28" w:type="dxa"/>
        </w:tblCellMar>
      </w:tblPr>
      <w:tblGrid>
        <w:gridCol w:w="485"/>
        <w:gridCol w:w="215"/>
        <w:gridCol w:w="216"/>
        <w:gridCol w:w="338"/>
        <w:gridCol w:w="338"/>
        <w:gridCol w:w="196"/>
        <w:gridCol w:w="109"/>
        <w:gridCol w:w="109"/>
        <w:gridCol w:w="109"/>
        <w:gridCol w:w="338"/>
        <w:gridCol w:w="338"/>
        <w:gridCol w:w="196"/>
        <w:gridCol w:w="109"/>
        <w:gridCol w:w="109"/>
        <w:gridCol w:w="109"/>
        <w:gridCol w:w="345"/>
        <w:gridCol w:w="346"/>
        <w:gridCol w:w="196"/>
        <w:gridCol w:w="109"/>
        <w:gridCol w:w="109"/>
        <w:gridCol w:w="109"/>
        <w:gridCol w:w="206"/>
        <w:gridCol w:w="243"/>
        <w:gridCol w:w="137"/>
        <w:gridCol w:w="109"/>
        <w:gridCol w:w="109"/>
        <w:gridCol w:w="109"/>
        <w:gridCol w:w="206"/>
        <w:gridCol w:w="243"/>
        <w:gridCol w:w="137"/>
        <w:gridCol w:w="109"/>
        <w:gridCol w:w="109"/>
        <w:gridCol w:w="109"/>
        <w:gridCol w:w="166"/>
        <w:gridCol w:w="541"/>
        <w:gridCol w:w="109"/>
        <w:gridCol w:w="109"/>
        <w:gridCol w:w="109"/>
        <w:gridCol w:w="109"/>
        <w:gridCol w:w="166"/>
        <w:gridCol w:w="526"/>
        <w:gridCol w:w="109"/>
        <w:gridCol w:w="109"/>
        <w:gridCol w:w="109"/>
        <w:gridCol w:w="109"/>
        <w:gridCol w:w="166"/>
        <w:gridCol w:w="566"/>
        <w:gridCol w:w="109"/>
        <w:gridCol w:w="109"/>
        <w:gridCol w:w="109"/>
        <w:gridCol w:w="109"/>
        <w:gridCol w:w="218"/>
        <w:gridCol w:w="554"/>
        <w:gridCol w:w="144"/>
        <w:gridCol w:w="109"/>
        <w:gridCol w:w="109"/>
        <w:gridCol w:w="109"/>
        <w:gridCol w:w="109"/>
        <w:gridCol w:w="109"/>
        <w:gridCol w:w="166"/>
        <w:gridCol w:w="541"/>
        <w:gridCol w:w="109"/>
        <w:gridCol w:w="109"/>
        <w:gridCol w:w="218"/>
        <w:gridCol w:w="194"/>
        <w:gridCol w:w="616"/>
        <w:gridCol w:w="181"/>
      </w:tblGrid>
      <w:tr>
        <w:trPr/>
        <w:tc>
          <w:tcPr>
            <w:tcW w:w="4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Retained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Earnings</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Total</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 Non-Controlling Interests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December 31, 2025</w:t>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81,308,801 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22,139,506 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(14,569,154)</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8 </w:t>
            </w:r>
          </w:p>
        </w:tc>
        <w:tc>
          <w:tcPr>
            <w:tcW w:w="1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(138,449)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144,197 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(130,596)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(2,521)</w:t>
            </w:r>
          </w:p>
        </w:tc>
        <w:tc>
          <w:tcPr>
            <w:tcW w:w="14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(127,359)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388,099 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3,105,577 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495,747 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(1,289)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(393)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10—Stockholders’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215,215 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(215,000)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(9,170)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6,658 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March 31, 2026</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84,629,593 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21,924,506 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(14,073,407)</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(134,657)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119,364 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(3,810)</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(154,709)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382,966 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1,027 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Distributions to partners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(2,202)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1,298,319 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related to Devon Park Acquisition</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3,781 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10—Stockholders’ Equity and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1,908,084 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(1,906,191)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(71,758)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June 30, 2026</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87,839,777 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20,018,315 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(14,073,407)</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(134,657)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229,449 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(136,635)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(3,958)</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(45,790)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310,142 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3370"/>
                <wp:effectExtent l="0" t="0" r="0" b="0"/>
                <wp:wrapNone/>
                <wp:docPr id="7" name="Frame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Redeemable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p>
      <w:pPr>
        <w:pStyle w:val="TextBody"/>
        <w:bidi w:val="0"/>
        <w:spacing w:before="0" w:after="0"/>
        <w:jc w:val="left"/>
        <w:rPr/>
      </w:pPr>
      <w:r>
        <w:rPr/>
      </w:r>
    </w:p>
    <w:tbl>
      <w:tblPr>
        <w:tblW w:w="13283" w:type="dxa"/>
        <w:jc w:val="left"/>
        <w:tblInd w:w="0" w:type="dxa"/>
        <w:tblLayout w:type="fixed"/>
        <w:tblCellMar>
          <w:top w:w="28" w:type="dxa"/>
          <w:left w:w="28" w:type="dxa"/>
          <w:bottom w:w="28" w:type="dxa"/>
          <w:right w:w="28" w:type="dxa"/>
        </w:tblCellMar>
      </w:tblPr>
      <w:tblGrid>
        <w:gridCol w:w="500"/>
        <w:gridCol w:w="215"/>
        <w:gridCol w:w="216"/>
        <w:gridCol w:w="338"/>
        <w:gridCol w:w="338"/>
        <w:gridCol w:w="196"/>
        <w:gridCol w:w="109"/>
        <w:gridCol w:w="109"/>
        <w:gridCol w:w="109"/>
        <w:gridCol w:w="338"/>
        <w:gridCol w:w="338"/>
        <w:gridCol w:w="196"/>
        <w:gridCol w:w="109"/>
        <w:gridCol w:w="109"/>
        <w:gridCol w:w="109"/>
        <w:gridCol w:w="345"/>
        <w:gridCol w:w="346"/>
        <w:gridCol w:w="196"/>
        <w:gridCol w:w="109"/>
        <w:gridCol w:w="109"/>
        <w:gridCol w:w="109"/>
        <w:gridCol w:w="206"/>
        <w:gridCol w:w="243"/>
        <w:gridCol w:w="137"/>
        <w:gridCol w:w="109"/>
        <w:gridCol w:w="109"/>
        <w:gridCol w:w="109"/>
        <w:gridCol w:w="206"/>
        <w:gridCol w:w="243"/>
        <w:gridCol w:w="137"/>
        <w:gridCol w:w="109"/>
        <w:gridCol w:w="109"/>
        <w:gridCol w:w="109"/>
        <w:gridCol w:w="166"/>
        <w:gridCol w:w="541"/>
        <w:gridCol w:w="109"/>
        <w:gridCol w:w="109"/>
        <w:gridCol w:w="109"/>
        <w:gridCol w:w="109"/>
        <w:gridCol w:w="166"/>
        <w:gridCol w:w="406"/>
        <w:gridCol w:w="109"/>
        <w:gridCol w:w="109"/>
        <w:gridCol w:w="109"/>
        <w:gridCol w:w="109"/>
        <w:gridCol w:w="166"/>
        <w:gridCol w:w="566"/>
        <w:gridCol w:w="109"/>
        <w:gridCol w:w="109"/>
        <w:gridCol w:w="109"/>
        <w:gridCol w:w="109"/>
        <w:gridCol w:w="218"/>
        <w:gridCol w:w="554"/>
        <w:gridCol w:w="144"/>
        <w:gridCol w:w="109"/>
        <w:gridCol w:w="109"/>
        <w:gridCol w:w="109"/>
        <w:gridCol w:w="109"/>
        <w:gridCol w:w="109"/>
        <w:gridCol w:w="166"/>
        <w:gridCol w:w="541"/>
        <w:gridCol w:w="109"/>
        <w:gridCol w:w="109"/>
        <w:gridCol w:w="218"/>
        <w:gridCol w:w="194"/>
        <w:gridCol w:w="616"/>
        <w:gridCol w:w="181"/>
      </w:tblGrid>
      <w:tr>
        <w:trPr/>
        <w:tc>
          <w:tcPr>
            <w:tcW w:w="5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Treasury</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Additional</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Paid-In</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Retained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Earnings</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Accumulated</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Other</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Comprehensive</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Total</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Redeemable Non-Controlling Interests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December 31, 2024</w:t>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72,544,696 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27,460,600 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(13,362,975)</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(111,484)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(303,708)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(6,193)</w:t>
            </w:r>
          </w:p>
        </w:tc>
        <w:tc>
          <w:tcPr>
            <w:tcW w:w="14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(421,375)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651,140 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4,034 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3,366,995 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387,054 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(69,741)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(69,741)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cash (Note 10—Stockholders’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(1,270,086)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(28,792)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(749,432)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(3,207)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(139,162)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March 31, 2025</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75,911,691 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26,190,514 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(13,725,353)</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(121,282)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(197,595)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(4,261)</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(323,128)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484,834 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1,530 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Equity-based awards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Class A common stock for vested PWP Incentive Plan Awards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143,693 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25,530 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Withholding tax payments on vested PWP Incentive Plan Awards and equity-classified ACUs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Dividends declared ($0.07 per share of Class A common stock)</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Foreign currency translation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2"/>
              </w:rPr>
            </w:pPr>
            <w:r>
              <w:rPr>
                <w:rFonts w:ascii="Times New Roman;serif" w:hAnsi="Times New Roman;serif"/>
                <w:b w:val="false"/>
                <w:color w:val="000000"/>
                <w:sz w:val="12"/>
              </w:rPr>
              <w:t>Exchange of PWP OpCo Units and corresponding Class B common stock for Class A common stock (Note 10—Stockholders’ Equity and Redeemable Non-Controlling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1,234,357 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(1,233,125)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(983,057)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 in ownership interests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Changes in redemption value of redeemable non-controlling interests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5,343 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12"/>
              </w:rPr>
            </w:pPr>
            <w:r>
              <w:rPr>
                <w:rFonts w:ascii="Times New Roman;serif" w:hAnsi="Times New Roman;serif"/>
                <w:b/>
                <w:color w:val="000000"/>
                <w:sz w:val="12"/>
              </w:rPr>
              <w:t>Balance at June 30, 2025</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77,289,741 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24,957,389 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(14,682,880)</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8 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2 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(138,282)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(179,429)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(721)</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(318,422)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2"/>
              </w:rPr>
            </w:pPr>
            <w:r>
              <w:rPr>
                <w:rFonts w:ascii="Times New Roman;serif" w:hAnsi="Times New Roman;serif"/>
                <w:b w:val="false"/>
                <w:color w:val="000000"/>
                <w:sz w:val="12"/>
              </w:rPr>
              <w:t>494,518 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3370"/>
                <wp:effectExtent l="0" t="0" r="0" b="0"/>
                <wp:wrapNone/>
                <wp:docPr id="8" name="Frame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861"/>
        <w:gridCol w:w="2440"/>
        <w:gridCol w:w="2449"/>
        <w:gridCol w:w="196"/>
        <w:gridCol w:w="736"/>
        <w:gridCol w:w="109"/>
        <w:gridCol w:w="109"/>
        <w:gridCol w:w="109"/>
        <w:gridCol w:w="109"/>
        <w:gridCol w:w="196"/>
        <w:gridCol w:w="736"/>
        <w:gridCol w:w="155"/>
      </w:tblGrid>
      <w:tr>
        <w:trPr/>
        <w:tc>
          <w:tcPr>
            <w:tcW w:w="2861"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5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awards vesting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54,618 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10,053 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revaluation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5,065 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(9,146)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operating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(5,738)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operating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(155,017)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(222,375)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(5,309)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(5,137)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(60,883)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(120,394)</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investments in short-term marketable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74,911 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(3,720)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73,080 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Exchange of PWP OpCo Units and corresponding Class B common stock for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(28,258)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Withholding tax payments for vested PWP Incentive Plan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(55,595)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(71,965)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partners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Class A and Class B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(12,748)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(31,748)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(72,682)</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(144,719)</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(2,795)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5,452 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(140,080)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(186,581)</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257,050 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332,771 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116,970 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146,190 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 and dividend equivalent units on unvested PWP Incentive Plan Awards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2,928 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paydown of partner loans</w:t>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effect resulting from changes in ownership and exchanges of PWP OpCo Units, net of amounts payable under tax receivable agreement</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3370"/>
                <wp:effectExtent l="0" t="0" r="0" b="0"/>
                <wp:wrapNone/>
                <wp:docPr id="9" name="Frame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 (unaudited)</w:t>
                      </w:r>
                    </w:p>
                    <w:p>
                      <w:pPr>
                        <w:pStyle w:val="TextBody"/>
                        <w:bidi w:val="0"/>
                        <w:spacing w:lineRule="auto" w:line="240"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before="24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1—Organization and Nature of Business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Perella Weinberg Partners and its consolidated subsidiaries, including PWP Holdings LP (“PWP OpCo”) (collectively, “PWP” and the “Company”), is a 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 capital markets advisory, private funds advisory, and private capital placement, as well as specialized underwriting and research services primarily for the energy and related industries.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24, 2021, the Company consummated a business combination that resulted in PWP OpCo becoming jointly-owned by Perella Weinberg Partners, PWP Professional Partners LP (“Professional Partners”) and certain existing partners of PWP OpCo as part of an umbrella limited partnership C-corporation (Up-C) structure (the “Business Combination”). As a result of a subsequent internal reorganization, the interests previously held by Professional Partners are now held by PWP VoteCo Professionals LP (“VoteCo Professionals”) and the former partners of Professional Partners directly.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operations of PWP OpCo are conducted through a wholly-owned subsidiary, Perella Weinberg Partners Group LP, and its subsidiaries which are consolidated in these financial statements. PWP GP LLC (“PWP GP”) is the general partner that controls PWP OpCo. The limited partner interests of PWP OpCo are held by the Company and certain current and former working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and have voting rights through indirect ownership of Class B common stock via VoteCo Professionals.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13, 2026, the Company entered into an agreement to acquire Gleacher Shacklock LLP, an independent advisory firm headquartered in London. The transaction is expected to close in the third quarter of 2026, subject to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of the Company have been prepared in accordance with generally accepted accounting principles in the United States (“U.S. GAAP”) and all intercompany balances and transactions have been eliminated.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2025,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the condensed consolidated financial statements, management makes certain estimates regarding the measurement of amounts due pursuant to the tax receivable agreement, measurement and timing of revenue recognition, assumptions used in the provision for income taxes, measurement of equity-based compensation, expected insurance reimbursements related to litigation costs, fair value measurement and impairment assessment of goodwill and intangible assets, fair value measurement of financial instruments, and other matters that affect the reported amounts and disclosures of contingencies in the condensed consolidated financial statements and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 represents cash that is not readily available for general purpose cash needs. As of June 30, 2026 and December 31, 2025, the Company had restricted cash of $1.1 million maintained as collateral for letters of credit related to certain office leases. As of June 30, 2026 and December 31, 2025, the Company held no cash equivalents. The sum of Cash and cash equivalents and Restricted cash on the Condensed Consolidated Statements of Financial Condition corresponds to the total cash, cash equivalents, and restricted cash presented on the Condensed Consolidated Statements of Cash Flows.</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June 30, 2026 and December 31, 2025, the net assets of PWP OpCo were $226.5 million and $235.3 million, respectively. As of June 30, 2026 and December 31, 2025, the Company did not consolidate any VIEs other than PWP OpCo.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w:t>
      </w:r>
    </w:p>
    <w:p>
      <w:pPr>
        <w:pStyle w:val="TextBody"/>
        <w:bidi w:val="0"/>
        <w:spacing w:lineRule="auto" w:line="240" w:before="240" w:after="240"/>
        <w:ind w:left="0" w:right="0" w:firstLine="360"/>
        <w:jc w:val="both"/>
        <w:rPr/>
      </w:pPr>
      <w:r>
        <w:rPr>
          <w:rFonts w:ascii="Times New Roman;serif" w:hAnsi="Times New Roman;serif"/>
          <w:b w:val="false"/>
          <w:color w:val="000000"/>
          <w:sz w:val="20"/>
        </w:rPr>
        <w:t xml:space="preserve">Redeemable non-controlling interests are presented within temporary equity on the Condensed Consolidated Statements of Financial Condition at the higher of: (i) their redemption value as of the reporting date, which corresponds to the price of the Company’s Class A common stock, or (ii) their measurement pursuant to </w:t>
      </w:r>
      <w:r>
        <w:rPr>
          <w:rFonts w:ascii="Times New Roman;serif" w:hAnsi="Times New Roman;serif"/>
          <w:b w:val="false"/>
          <w:color w:val="000000"/>
          <w:sz w:val="20"/>
          <w:shd w:fill="FFFFFF" w:val="clear"/>
        </w:rPr>
        <w:t>Accounting Standards Codification (“ASC” or the “Codification”) Topic 810, Consolidation</w:t>
      </w:r>
      <w:r>
        <w:rPr>
          <w:rFonts w:ascii="Times New Roman;serif" w:hAnsi="Times New Roman;serif"/>
          <w:b w:val="false"/>
          <w:color w:val="000000"/>
          <w:sz w:val="20"/>
        </w:rPr>
        <w:t>. Changes in the current redemption value are recorded to Additional paid-in capital immediately as they occur. The magnitude of these changes may exceed the available balance of Additional paid-in capital, resulting in subsequent equity transactions being recorded to Accumulated deficit. As of June 30, 2025, $45.4 million was recorded to Accumulated deficit, driven by increases in the redemption value of Redeemable non-controlling interests. During the year ended December 31, 2025, equity transactions offset this cumulative amount and restored an Additional paid-in capital balance. Accordingly, no such amounts were recorded to Accumulated deficit as of December 31, 2025 or June 30, 2026.</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the Company has an unconditional obligation to purchase the Redeemable non-controlling interests for cash, the mandatorily redeemable interests are reclassified from temporary equity to a liability with changes in fair value recorded to Other income (expense) on the Condensed Consolidated Statements of Operations. As of June 30, 2026, there were no non-controlling interests considered mandatorily redeemable.</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Equity-based compensation relates to equity-based awards granted to employees and partners of the Company. Equity-based compensation expense is 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 compensation on the Condensed Consolidated Statements of Operations and equity-based compensation expense for non-employees is included in Professional fees on the Condensed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Foreign Currencies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and its subsidiaries may enter into transactions denominated in a non-functional currency. The Company recognized net foreign exchange gains (losses) arising from such transactions of $(0.4) million and $0.8 million during the three and six months ended June 30, 2026, respectively, and $(2.7) million and $(4.5) million for the three and six months ended June 30, 2025, respectively, which are included in Other income (expense) on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income (loss) on the Condensed Consolidated Statements of Changes in Equity and Redeemable Non-Controlling Interests.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40" w:before="240" w:after="240"/>
        <w:ind w:left="0" w:right="0" w:firstLine="360"/>
        <w:jc w:val="both"/>
        <w:rPr/>
      </w:pPr>
      <w:r>
        <w:rPr>
          <w:rFonts w:ascii="Times New Roman;serif" w:hAnsi="Times New Roman;serif"/>
          <w:b w:val="false"/>
          <w:i/>
          <w:color w:val="000000"/>
          <w:sz w:val="20"/>
          <w:shd w:fill="FFFFFF" w:val="clear"/>
        </w:rPr>
        <w:t>Credit Losses</w:t>
      </w:r>
      <w:r>
        <w:rPr>
          <w:color w:val="000000"/>
          <w:shd w:fill="FFFFFF" w:val="clear"/>
        </w:rPr>
        <w:t>—</w:t>
      </w:r>
      <w:r>
        <w:rPr>
          <w:rFonts w:ascii="Times New Roman;serif" w:hAnsi="Times New Roman;serif"/>
          <w:b w:val="false"/>
          <w:color w:val="000000"/>
          <w:sz w:val="20"/>
          <w:shd w:fill="FFFFFF" w:val="clear"/>
        </w:rPr>
        <w:t xml:space="preserve">Effective January 1, 2026, the Company prospectively adopted Accounting Standards Update 2025-05, </w:t>
      </w:r>
      <w:r>
        <w:rPr>
          <w:rFonts w:ascii="Times New Roman;serif" w:hAnsi="Times New Roman;serif"/>
          <w:b w:val="false"/>
          <w:i/>
          <w:color w:val="000000"/>
          <w:sz w:val="20"/>
          <w:shd w:fill="FFFFFF" w:val="clear"/>
        </w:rPr>
        <w:t xml:space="preserve">Measurement of Credit Losses for Accounts Receivable and Contract Assets </w:t>
      </w:r>
      <w:r>
        <w:rPr>
          <w:rFonts w:ascii="Times New Roman;serif" w:hAnsi="Times New Roman;serif"/>
          <w:b w:val="false"/>
          <w:color w:val="000000"/>
          <w:sz w:val="20"/>
          <w:shd w:fill="FFFFFF" w:val="clear"/>
        </w:rPr>
        <w:t>(“ASU 2025-05”), which amends the guidance in ASC Topic 326, Financial Instruments—Credit Losses to simplify the process for preparing the estimate of expected credit losses. The Company elected the practical expedient provided under ASU 2025-05 that assumes that current conditions as of the balance sheet date do not change for the remaining life of the asset. The adoption did not have a material impact on the Company’s condensed consolidated financial statements.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Future Adoption of Accounting Pronouncements</w:t>
      </w:r>
    </w:p>
    <w:p>
      <w:pPr>
        <w:pStyle w:val="TextBody"/>
        <w:bidi w:val="0"/>
        <w:spacing w:lineRule="auto" w:line="240" w:before="240" w:after="240"/>
        <w:ind w:left="0" w:right="0" w:firstLine="360"/>
        <w:jc w:val="both"/>
        <w:rPr/>
      </w:pPr>
      <w:r>
        <w:rPr>
          <w:rFonts w:ascii="Times New Roman;serif" w:hAnsi="Times New Roman;serif"/>
          <w:b w:val="false"/>
          <w:i/>
          <w:color w:val="000000"/>
          <w:sz w:val="20"/>
          <w:shd w:fill="FFFFFF" w:val="clear"/>
        </w:rPr>
        <w:t>Expense Disaggregation</w:t>
      </w:r>
      <w:r>
        <w:rPr>
          <w:color w:val="000000"/>
          <w:shd w:fill="FFFFFF" w:val="clear"/>
        </w:rPr>
        <w:t>—</w:t>
      </w:r>
      <w:r>
        <w:rPr>
          <w:rFonts w:ascii="Times New Roman;serif" w:hAnsi="Times New Roman;serif"/>
          <w:b w:val="false"/>
          <w:color w:val="000000"/>
          <w:sz w:val="20"/>
          <w:shd w:fill="FFFFFF" w:val="clear"/>
        </w:rPr>
        <w:t xml:space="preserve">In November 2024, the FASB issued Accounting Standards Update 2024-03, </w:t>
      </w:r>
      <w:r>
        <w:rPr>
          <w:rFonts w:ascii="Times New Roman;serif" w:hAnsi="Times New Roman;serif"/>
          <w:b w:val="false"/>
          <w:i/>
          <w:color w:val="000000"/>
          <w:sz w:val="20"/>
          <w:shd w:fill="FFFFFF" w:val="clear"/>
        </w:rPr>
        <w:t>Disaggregation of Income Statement Expenses</w:t>
      </w:r>
      <w:r>
        <w:rPr>
          <w:color w:val="000000"/>
          <w:shd w:fill="FFFFFF" w:val="clear"/>
        </w:rPr>
        <w:t xml:space="preserve"> </w:t>
      </w:r>
      <w:r>
        <w:rPr>
          <w:rFonts w:ascii="Times New Roman;serif" w:hAnsi="Times New Roman;serif"/>
          <w:b w:val="false"/>
          <w:color w:val="000000"/>
          <w:sz w:val="20"/>
          <w:shd w:fill="FFFFFF" w:val="clear"/>
        </w:rPr>
        <w:t>(“ASU 2024-03”), which amends the guidance in ASC Topic 220, Income Statement—Reporting Comprehensive Income, to improve the transparency of expense disclosures by requiring more detailed information about the types of expenses in commonly presented expense captions. The amendments in ASU 2024-03 are effective for the Company beginning with the annual period ended December 31, 2027. The amendments are to be applied prospectively with both retrospective application and early adoption permitted. The Company does not expect the adoption of ASU 2024-03 to have a material impact on the consolidated financial statements.</w:t>
      </w:r>
    </w:p>
    <w:p>
      <w:pPr>
        <w:pStyle w:val="TextBody"/>
        <w:bidi w:val="0"/>
        <w:spacing w:lineRule="auto" w:line="240" w:before="240" w:after="240"/>
        <w:ind w:left="0" w:right="0" w:firstLine="360"/>
        <w:jc w:val="both"/>
        <w:rPr/>
      </w:pPr>
      <w:r>
        <w:rPr>
          <w:rFonts w:ascii="Times New Roman;serif" w:hAnsi="Times New Roman;serif"/>
          <w:b w:val="false"/>
          <w:i/>
          <w:color w:val="000000"/>
          <w:sz w:val="20"/>
        </w:rPr>
        <w:t>Internal-Use Software</w:t>
      </w:r>
      <w:r>
        <w:rPr>
          <w:color w:val="000000"/>
        </w:rPr>
        <w:t>—</w:t>
      </w:r>
      <w:r>
        <w:rPr>
          <w:rFonts w:ascii="Times New Roman;serif" w:hAnsi="Times New Roman;serif"/>
          <w:b w:val="false"/>
          <w:color w:val="000000"/>
          <w:sz w:val="20"/>
          <w:shd w:fill="FFFFFF" w:val="clear"/>
        </w:rPr>
        <w:t xml:space="preserve">In September 2025, the FASB issued Accounting Standards Update 2025-06, </w:t>
      </w:r>
      <w:r>
        <w:rPr>
          <w:rFonts w:ascii="Times New Roman;serif" w:hAnsi="Times New Roman;serif"/>
          <w:b w:val="false"/>
          <w:i/>
          <w:color w:val="000000"/>
          <w:sz w:val="20"/>
          <w:shd w:fill="FFFFFF" w:val="clear"/>
        </w:rPr>
        <w:t xml:space="preserve">Targeted Improvements to the Accounting for Internal-Use Software </w:t>
      </w:r>
      <w:r>
        <w:rPr>
          <w:rFonts w:ascii="Times New Roman;serif" w:hAnsi="Times New Roman;serif"/>
          <w:b w:val="false"/>
          <w:color w:val="000000"/>
          <w:sz w:val="20"/>
          <w:shd w:fill="FFFFFF" w:val="clear"/>
        </w:rPr>
        <w:t>(“ASU 2025-06”), which amends the guidance in ASC Subtopic 350-40, Intangibles—Goodwill and Other—Internal-Use Software, to clarify and increase the operability of applying the internal-use software guidance to software costs incurred in an iterative development environment. The amendments in ASU 2025-06 are effective for the Company beginning with the interim periods within the annual period ended December 31, 2028. The amendments can be applied prospectively, retrospectively, or on a modified transition approach based on the status of the project and whether software costs were capitalized before the date of adoption. Early adoption is permitted. The Company does not expect the adoption of ASU 2025-06 to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3—Revenue and Receivables from Contracts with Customers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revenue between over time and point in time recognition:</w:t>
      </w:r>
    </w:p>
    <w:tbl>
      <w:tblPr>
        <w:tblW w:w="6855" w:type="dxa"/>
        <w:jc w:val="left"/>
        <w:tblInd w:w="0" w:type="dxa"/>
        <w:tblLayout w:type="fixed"/>
        <w:tblCellMar>
          <w:top w:w="28" w:type="dxa"/>
          <w:left w:w="28" w:type="dxa"/>
          <w:bottom w:w="28" w:type="dxa"/>
          <w:right w:w="28" w:type="dxa"/>
        </w:tblCellMar>
      </w:tblPr>
      <w:tblGrid>
        <w:gridCol w:w="451"/>
        <w:gridCol w:w="395"/>
        <w:gridCol w:w="39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145,342 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154,391 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288,837 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363,122 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156,525 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155,267 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305,442 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367,098 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Reimbursable expenses billed to clients were $0.8 million and $1.6 million for the three and six months ended June 30, 2026, respectively, and $1.3 million and $3.0 million for the three and six months ended June 30, 2025, respectively.</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Performance Obligations and Contract Balances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total revenues in any given period often relates to performance obligations that were satisfied or partially satisfied in prior periods. These amounts are recognized upon the resolution of revenue constraints and uncertainties in the relevant period and are generally related to transaction-related advisory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recorded $0.5 million and $1.0 million, respectively, for contract liabilities which are presented within Accounts payable, accrued expenses and other liabilities on the Condensed Consolidated Statements of Financial Condition.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$16.6 million and $22.2 million, respectively, of accrued revenue was included in Accounts receivable, net of allowance on the Condensed Consolidated Statements of Financial Condition. These amounts have been recognized as revenue in accordance with the Company’s revenue recognition policies but remained unbilled at the end of the period. As of June 30, 2026, certain accounts receivable in the aggregate amount of $15.9 million were individually greater than 10% of the Company’s gross accounts receivable and were concentrated with three clients. Of that amount, $4.1 million was subsequently received after June 30, 2026. As of December 31, 2025, certain accounts receivable in the aggregate amount of $22.3 million were individually greater than 10% of the Company’s gross accounts receivable and were concentrated with three clients. Of that amount, all was subsequently received after year end.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activity for the three and six months ended June 30, 2026 and 2025 was as follows:</w:t>
      </w:r>
    </w:p>
    <w:tbl>
      <w:tblPr>
        <w:tblW w:w="9015" w:type="dxa"/>
        <w:jc w:val="left"/>
        <w:tblInd w:w="0" w:type="dxa"/>
        <w:tblLayout w:type="fixed"/>
        <w:tblCellMar>
          <w:top w:w="28" w:type="dxa"/>
          <w:left w:w="28" w:type="dxa"/>
          <w:bottom w:w="28" w:type="dxa"/>
          <w:right w:w="28" w:type="dxa"/>
        </w:tblCellMar>
      </w:tblPr>
      <w:tblGrid>
        <w:gridCol w:w="1538"/>
        <w:gridCol w:w="1350"/>
        <w:gridCol w:w="135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Bad debt expense, net of reversals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4—Leases</w:t>
      </w:r>
    </w:p>
    <w:p>
      <w:pPr>
        <w:pStyle w:val="TextBody"/>
        <w:bidi w:val="0"/>
        <w:spacing w:lineRule="auto" w:line="240" w:before="240" w:after="240"/>
        <w:ind w:left="0" w:right="0" w:firstLine="360"/>
        <w:jc w:val="both"/>
        <w:rPr/>
      </w:pPr>
      <w:r>
        <w:rPr>
          <w:rFonts w:ascii="Times New Roman;serif" w:hAnsi="Times New Roman;serif"/>
          <w:b w:val="false"/>
          <w:color w:val="000000"/>
          <w:sz w:val="20"/>
        </w:rPr>
        <w:t>The Company</w:t>
      </w:r>
      <w:r>
        <w:rPr>
          <w:color w:val="000000"/>
        </w:rPr>
        <w:t xml:space="preserve"> </w:t>
      </w:r>
      <w:r>
        <w:rPr>
          <w:rFonts w:ascii="Times New Roman;serif" w:hAnsi="Times New Roman;serif"/>
          <w:b w:val="false"/>
          <w:color w:val="000000"/>
          <w:sz w:val="20"/>
        </w:rPr>
        <w:t xml:space="preserve">leases office space and equipment under operating lease agreements.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2025, the Company entered into a seven-year agreement to sublease a portion of its New York office. The sublease term commenced in September 2025 and continues through August 2032. Sublease income is presented net within Rent and occupancy on the Condensed Consolidated Statements of Operations. Variable lease payments for the subtenant’s portion of occupancy costs will be recognized as incurred.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as it relates to the Company’s operating leases is as follows:</w:t>
      </w:r>
    </w:p>
    <w:tbl>
      <w:tblPr>
        <w:tblW w:w="8200" w:type="dxa"/>
        <w:jc w:val="left"/>
        <w:tblInd w:w="0" w:type="dxa"/>
        <w:tblLayout w:type="fixed"/>
        <w:tblCellMar>
          <w:top w:w="28" w:type="dxa"/>
          <w:left w:w="28" w:type="dxa"/>
          <w:bottom w:w="28" w:type="dxa"/>
          <w:right w:w="28" w:type="dxa"/>
        </w:tblCellMar>
      </w:tblPr>
      <w:tblGrid>
        <w:gridCol w:w="1751"/>
        <w:gridCol w:w="1537"/>
        <w:gridCol w:w="1542"/>
        <w:gridCol w:w="424"/>
        <w:gridCol w:w="424"/>
        <w:gridCol w:w="426"/>
        <w:gridCol w:w="109"/>
        <w:gridCol w:w="109"/>
        <w:gridCol w:w="109"/>
        <w:gridCol w:w="517"/>
        <w:gridCol w:w="517"/>
        <w:gridCol w:w="735"/>
      </w:tblGrid>
      <w:tr>
        <w:trPr/>
        <w:tc>
          <w:tcPr>
            <w:tcW w:w="175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ind w:left="0" w:right="0" w:hanging="810"/>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27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12.1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12.5 years</w:t>
            </w:r>
          </w:p>
        </w:tc>
      </w:tr>
    </w:tbl>
    <w:tbl>
      <w:tblPr>
        <w:tblW w:w="8144" w:type="dxa"/>
        <w:jc w:val="left"/>
        <w:tblInd w:w="0" w:type="dxa"/>
        <w:tblLayout w:type="fixed"/>
        <w:tblCellMar>
          <w:top w:w="28" w:type="dxa"/>
          <w:left w:w="28" w:type="dxa"/>
          <w:bottom w:w="28" w:type="dxa"/>
          <w:right w:w="28" w:type="dxa"/>
        </w:tblCellMar>
      </w:tblPr>
      <w:tblGrid>
        <w:gridCol w:w="1145"/>
        <w:gridCol w:w="1006"/>
        <w:gridCol w:w="101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10,027 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Sublease income – 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lease cost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cash outflows on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Cash inflows on sublease</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 maturities of undiscounted cash payments and cash receipts for operating leases are as follows:</w:t>
      </w:r>
    </w:p>
    <w:tbl>
      <w:tblPr>
        <w:tblW w:w="7835" w:type="dxa"/>
        <w:jc w:val="left"/>
        <w:tblInd w:w="0" w:type="dxa"/>
        <w:tblLayout w:type="fixed"/>
        <w:tblCellMar>
          <w:top w:w="28" w:type="dxa"/>
          <w:left w:w="28" w:type="dxa"/>
          <w:bottom w:w="28" w:type="dxa"/>
          <w:right w:w="28" w:type="dxa"/>
        </w:tblCellMar>
      </w:tblPr>
      <w:tblGrid>
        <w:gridCol w:w="688"/>
        <w:gridCol w:w="605"/>
        <w:gridCol w:w="611"/>
        <w:gridCol w:w="439"/>
        <w:gridCol w:w="1719"/>
        <w:gridCol w:w="226"/>
        <w:gridCol w:w="109"/>
        <w:gridCol w:w="109"/>
        <w:gridCol w:w="109"/>
        <w:gridCol w:w="322"/>
        <w:gridCol w:w="1101"/>
        <w:gridCol w:w="166"/>
        <w:gridCol w:w="109"/>
        <w:gridCol w:w="109"/>
        <w:gridCol w:w="109"/>
        <w:gridCol w:w="231"/>
        <w:gridCol w:w="905"/>
        <w:gridCol w:w="168"/>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Years Ending:</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Sublease Receipts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Payments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43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2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7,501 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18,393 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14,240 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15,911 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21,011 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16,858 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58"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20,513 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16,360 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153,045 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145,666 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5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242,603 </w:t>
            </w:r>
          </w:p>
        </w:tc>
        <w:tc>
          <w:tcPr>
            <w:tcW w:w="2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26,067 </w:t>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216,536 </w:t>
            </w:r>
          </w:p>
        </w:tc>
        <w:tc>
          <w:tcPr>
            <w:tcW w:w="1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215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(63,324)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43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179,279 </w:t>
            </w:r>
          </w:p>
        </w:tc>
        <w:tc>
          <w:tcPr>
            <w:tcW w:w="2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5—Intangible Assets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detail of the Company’s intangible assets:</w:t>
      </w:r>
    </w:p>
    <w:tbl>
      <w:tblPr>
        <w:tblW w:w="8781" w:type="dxa"/>
        <w:jc w:val="left"/>
        <w:tblInd w:w="0" w:type="dxa"/>
        <w:tblLayout w:type="fixed"/>
        <w:tblCellMar>
          <w:top w:w="28" w:type="dxa"/>
          <w:left w:w="28" w:type="dxa"/>
          <w:bottom w:w="28" w:type="dxa"/>
          <w:right w:w="28" w:type="dxa"/>
        </w:tblCellMar>
      </w:tblPr>
      <w:tblGrid>
        <w:gridCol w:w="874"/>
        <w:gridCol w:w="769"/>
        <w:gridCol w:w="771"/>
        <w:gridCol w:w="267"/>
        <w:gridCol w:w="914"/>
        <w:gridCol w:w="138"/>
        <w:gridCol w:w="109"/>
        <w:gridCol w:w="109"/>
        <w:gridCol w:w="109"/>
        <w:gridCol w:w="477"/>
        <w:gridCol w:w="1672"/>
        <w:gridCol w:w="250"/>
        <w:gridCol w:w="109"/>
        <w:gridCol w:w="109"/>
        <w:gridCol w:w="109"/>
        <w:gridCol w:w="429"/>
        <w:gridCol w:w="1253"/>
        <w:gridCol w:w="31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7"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54,500 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(47,250)</w:t>
            </w:r>
          </w:p>
        </w:tc>
        <w:tc>
          <w:tcPr>
            <w:tcW w:w="25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3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72,900 </w:t>
            </w:r>
          </w:p>
        </w:tc>
        <w:tc>
          <w:tcPr>
            <w:tcW w:w="1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(64,883)</w:t>
            </w:r>
          </w:p>
        </w:tc>
        <w:tc>
          <w:tcPr>
            <w:tcW w:w="25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3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81" w:type="dxa"/>
        <w:jc w:val="left"/>
        <w:tblInd w:w="0" w:type="dxa"/>
        <w:tblLayout w:type="fixed"/>
        <w:tblCellMar>
          <w:top w:w="28" w:type="dxa"/>
          <w:left w:w="28" w:type="dxa"/>
          <w:bottom w:w="28" w:type="dxa"/>
          <w:right w:w="28" w:type="dxa"/>
        </w:tblCellMar>
      </w:tblPr>
      <w:tblGrid>
        <w:gridCol w:w="874"/>
        <w:gridCol w:w="769"/>
        <w:gridCol w:w="771"/>
        <w:gridCol w:w="267"/>
        <w:gridCol w:w="914"/>
        <w:gridCol w:w="138"/>
        <w:gridCol w:w="109"/>
        <w:gridCol w:w="109"/>
        <w:gridCol w:w="109"/>
        <w:gridCol w:w="477"/>
        <w:gridCol w:w="1672"/>
        <w:gridCol w:w="250"/>
        <w:gridCol w:w="109"/>
        <w:gridCol w:w="109"/>
        <w:gridCol w:w="109"/>
        <w:gridCol w:w="387"/>
        <w:gridCol w:w="1325"/>
        <w:gridCol w:w="283"/>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7"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6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54,500 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(43,664)</w:t>
            </w:r>
          </w:p>
        </w:tc>
        <w:tc>
          <w:tcPr>
            <w:tcW w:w="25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28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(16,713)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72,900 </w:t>
            </w:r>
          </w:p>
        </w:tc>
        <w:tc>
          <w:tcPr>
            <w:tcW w:w="13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(60,377)</w:t>
            </w:r>
          </w:p>
        </w:tc>
        <w:tc>
          <w:tcPr>
            <w:tcW w:w="25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12,523 </w:t>
            </w:r>
          </w:p>
        </w:tc>
        <w:tc>
          <w:tcPr>
            <w:tcW w:w="2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$2.3 million and $4.5 million for the three and six months ended June 30, 2026, respectively, and $1.6 million and $3.3 million for the three and six months ended June 30, 2025, respectively, and is included in Depreciation and amortization on the Condensed Consolidated Statements of Operations.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future aggregate amortization expense of the Company’s intangible assets held at June 30, 2026:</w:t>
      </w:r>
    </w:p>
    <w:tbl>
      <w:tblPr>
        <w:tblW w:w="2661" w:type="dxa"/>
        <w:jc w:val="left"/>
        <w:tblInd w:w="0" w:type="dxa"/>
        <w:tblLayout w:type="fixed"/>
        <w:tblCellMar>
          <w:top w:w="28" w:type="dxa"/>
          <w:left w:w="28" w:type="dxa"/>
          <w:bottom w:w="28" w:type="dxa"/>
          <w:right w:w="28" w:type="dxa"/>
        </w:tblCellMar>
      </w:tblPr>
      <w:tblGrid>
        <w:gridCol w:w="608"/>
        <w:gridCol w:w="534"/>
        <w:gridCol w:w="538"/>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6—Regulatory Requirements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number of consolidated subsidiaries registered as broker-dealers with regulatory agencies in their respective countries. The SEC-regulated subsidiary does not hold funds or securities for, or owe money or securities to clients or carry accounts of or for clients, and as such is exempt from the SEC Customer Protection Rule (Rule 15c3-3). As of June 30, 2026 and December 31, 2025, all regulated subsidiaries had capital in excess of their applicable minimum capital requirements. As a result of the minimum capital requirements and various regulations on these broker-dealers, a portion of the capital of each subsidiary of the Company is restricted and may be unavailable to pay its creditors.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7—Fixed Assets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Fixed assets are recorded at cost less accumulated depreciation and amortization and consist of the following as of June 30, 2026 and December 31, 2025:</w:t>
      </w:r>
    </w:p>
    <w:tbl>
      <w:tblPr>
        <w:tblW w:w="7526" w:type="dxa"/>
        <w:jc w:val="left"/>
        <w:tblInd w:w="0" w:type="dxa"/>
        <w:tblLayout w:type="fixed"/>
        <w:tblCellMar>
          <w:top w:w="28" w:type="dxa"/>
          <w:left w:w="28" w:type="dxa"/>
          <w:bottom w:w="28" w:type="dxa"/>
          <w:right w:w="28" w:type="dxa"/>
        </w:tblCellMar>
      </w:tblPr>
      <w:tblGrid>
        <w:gridCol w:w="1505"/>
        <w:gridCol w:w="1322"/>
        <w:gridCol w:w="1328"/>
        <w:gridCol w:w="258"/>
        <w:gridCol w:w="883"/>
        <w:gridCol w:w="133"/>
        <w:gridCol w:w="109"/>
        <w:gridCol w:w="109"/>
        <w:gridCol w:w="109"/>
        <w:gridCol w:w="344"/>
        <w:gridCol w:w="1175"/>
        <w:gridCol w:w="251"/>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86,406 </w:t>
            </w:r>
          </w:p>
        </w:tc>
        <w:tc>
          <w:tcPr>
            <w:tcW w:w="1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85,226 </w:t>
            </w:r>
          </w:p>
        </w:tc>
        <w:tc>
          <w:tcPr>
            <w:tcW w:w="25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13,522 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16,729 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15,869 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122,399 </w:t>
            </w:r>
          </w:p>
        </w:tc>
        <w:tc>
          <w:tcPr>
            <w:tcW w:w="1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120,106 </w:t>
            </w:r>
          </w:p>
        </w:tc>
        <w:tc>
          <w:tcPr>
            <w:tcW w:w="25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(49,833)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(42,900)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25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72,566 </w:t>
            </w:r>
          </w:p>
        </w:tc>
        <w:tc>
          <w:tcPr>
            <w:tcW w:w="13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77,206 </w:t>
            </w:r>
          </w:p>
        </w:tc>
        <w:tc>
          <w:tcPr>
            <w:tcW w:w="25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fixed assets was $3.4 million and $6.9 million for the three and six months ended June 30, 2026, respectively, and $3.3 million and $6.6 million for the three and six months ended June 30, 2025, respectively. Amortization expense related to software costs was immaterial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8—Income Taxes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tax position for the periods presented: </w:t>
      </w:r>
    </w:p>
    <w:tbl>
      <w:tblPr>
        <w:tblW w:w="8568" w:type="dxa"/>
        <w:jc w:val="left"/>
        <w:tblInd w:w="0" w:type="dxa"/>
        <w:tblLayout w:type="fixed"/>
        <w:tblCellMar>
          <w:top w:w="28" w:type="dxa"/>
          <w:left w:w="28" w:type="dxa"/>
          <w:bottom w:w="28" w:type="dxa"/>
          <w:right w:w="28" w:type="dxa"/>
        </w:tblCellMar>
      </w:tblPr>
      <w:tblGrid>
        <w:gridCol w:w="1037"/>
        <w:gridCol w:w="910"/>
        <w:gridCol w:w="918"/>
        <w:gridCol w:w="211"/>
        <w:gridCol w:w="616"/>
        <w:gridCol w:w="271"/>
        <w:gridCol w:w="109"/>
        <w:gridCol w:w="109"/>
        <w:gridCol w:w="109"/>
        <w:gridCol w:w="211"/>
        <w:gridCol w:w="616"/>
        <w:gridCol w:w="271"/>
        <w:gridCol w:w="109"/>
        <w:gridCol w:w="109"/>
        <w:gridCol w:w="109"/>
        <w:gridCol w:w="211"/>
        <w:gridCol w:w="796"/>
        <w:gridCol w:w="271"/>
        <w:gridCol w:w="109"/>
        <w:gridCol w:w="109"/>
        <w:gridCol w:w="109"/>
        <w:gridCol w:w="211"/>
        <w:gridCol w:w="721"/>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(4,558)</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222.6</w:t>
            </w:r>
          </w:p>
        </w:tc>
        <w:tc>
          <w:tcPr>
            <w:tcW w:w="27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overall effective income tax rate in each of the periods presented above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permanent differences related to 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recorded a liability for unrecognized tax benefits of $3.7 million primarily related to potential double taxation at certain of its foreign subsidiaries. The Company does not expect there to be any material changes to uncertain tax positions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9—Debt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no outstanding debt. The Company has a revolving credit facility (the “Revolving Credit Facility”) through a credit agreement with Cadence Bank (the “Credit Agreement”), with an available line of credit of $50.0 million with up to $20.0 million of available incremental revolving commitments, and a maturity date of July 1, 2028. Issuance costs incurred related to the Credit Agreement are amortized over the life of the Revolving Credit Facility. The Company is also charged a quarterly commitment fee of 0.25% on any unused portion of the line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10—Stockholders’ Equity and Redeemable Non-Controlling Interests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Since inception of the share repurchase program, 14,750,036 shares have been purchased at an average price per share of $9.48 through June 30, 2026 for a total purchase price of $139.8 million. These amounts include 1,000,000 founder shares repurchased during 2024 at a purchase price of $15.00 per share for a total purchase price of $15.0 million. During 2021, prior to the implementation of the stock repurchase program, the Company repurchased 1,000,000 founder shares at a purchase price of $12.00 per share for a total purchase price of $12.0 million.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Redeemable non-controlling interests on the Condensed Consolidated Statements of Financial Condition are presented within temporary equity. Redeemable non-controlling interests are presented at their redemption value as of the reporting date and represent the ownership interests in PWP OpCo held by holders other than Perella Weinberg Partners. As of June 30, 2026, the current and former working partners collectively own 20,018,315 PWP OpCo Units, which represents a 21.3% non-controlling ownership interest in PWP OpCo.</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Rights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PWP OpCo Units (the “PWP OpCo Unitholders”) other than the Company may exchange their units for (i) shares of Class A common stock on a one-for-one basis or (ii) cash from an offering of shares of Class A common stock and (iii)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 exchange for their PWP OpCo Units and Class B common stock is at the Company’s discretion. Working partners are restricted in their ability to exchange PWP OpCo Units for a period between three to five years after the Business Combination. PWP GP may waive, and in certain cases has waived, the foregoing restrictions for any holder with respect to all or a portion of such holder’s units, with no obligation to do so for any other holder. The Company settled exchanges of certain PWP OpCo Units and corresponding shares of Class B common stock for 1,908,084 and 2,123,299 shares of Class A common stock during the three and six months ended June 30, 2026. During the three and six months ended June 30, 2025, the Company settled exchanges of certain PWP OpCo Units and corresponding shares of Class B common stock for 1,234,357 shares of Class A common stock. During the six months ended June 30, 2025, the Company settled exchanges of 1,270,086 PWP OpCo Units and corresponding shares of Class B common stock at a price of $22.65 per PWP OpCo Unit for $28.3 million in cash as well as the non-cash settlement of certain partner loans. Refer to Note 15—Related Party Transactions for more information on partner loans.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an exchange creates a step-up in tax basis, the Company records an increase in Deferred tax assets, net, Amounts due pursuant to tax receivable agreement, and Additional paid-in-capital.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11—Equity-Based Compensation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information regarding the Company’s equity-based compensation awards is described in Note 12—Equity-Based Compensation in the Notes to Consolidated Financial Statements in “Part II. Item 8. Financial Statements and Supplementary Data” in the Company’s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PWP Omnibus Incentive Plan Awards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Concurrent with the Business Combination, the Company adopted the Perella Weinberg Partners 2021 Omnibus Incentive Plan (the “PWP Incentive 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 number of shares of Class A common stock reserved for issuance from the General Share Reserve increases each year.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granted awards (the “Business Combination Awards”) in the form of (a) RSUs that vest upon the achievement of service conditions (“Transaction RSUs”) and (b) PSUs that only vest upon the achievement of both service and market conditions, including certain long-term incentive awards granted to management (“Transaction PSUs”).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588,774 and 1,301,449 Business Combination Awards vested with a total fair value of $10.8 million and $31.1 million, respectively. As of June 30, 2026, the price targets ranging from $12.00 to $20.00 as well as substantially all of the $25.00 price target were met for the Transaction PSUs.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the Company granted 5,059,656 and 5,182,555 General RSUs at a weighted average grant date fair value of $21.46 and $23.73 per award, respectively. During the six months ended June 30, 2026 and 2025, 7,228,551 and 5,730,085 General RSUs vested with a total fair value of $146.2 million and $131.1 million, respectively. During the six months ended June 30, 2026, 474,850 General PSUs vested with a total fair value of $8.6 million. During the six months ended June 30, 2025, no General PSUs vested. As of June 30, 2026, the price targets ranging from $15.00 to $20.00 as well as substantially all of the $25.00 price target were met for the General PSUs.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Equity-based compensation expense related to the PWP Incentive Plan was $36.3 million and $67.1 million for the three and six months ended June 30, 2026, respectively, and $28.0 million and $54.3 million for the three and six months ended June 30, 2025, respectively. Additionally, equity-based amortization expense related to non-employee awards was $0.2 million and $0.4 million for the three and six months ended June 30, 2026, respectively, and $0.2 million and $0.3 million for the three and six months ended June 30, 2025, respectively, and is included in Professional fees on the Condensed Consolidated Statements of Operations. The income tax benefit recognized related to equity-based awards was $6.1 million and $11.7 million for the three and six months ended June 30, 2026, respectively, and $4.7 million and $8.8 million for the three and six months ended June 30, 2025, respectively.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expense related to all unvested equity-based awards was $168.8 million, which is expected to be recognized over a weighted 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12—Other Compensation and Benefits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Benefit Plans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employees participate in employee benefit plans, which consist of defined contribution plans including (i) profit-sharing plans qualified under Section 401(k) of the Internal Revenue Code, (ii) a U.K. pension scheme for U.K. employees and (iii) a German pension plan for employees in Germany. Expenses related to the Company’s employee benefit plans were $2.0 million and $4.2 million for the three and six months ended June 30, 2026, respectively, and $1.7 million and $3.4 million for the three and six months ended June 30, 2025, respectively, and are included in Compensation and benefits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56" w:before="0" w:after="0"/>
        <w:jc w:val="left"/>
        <w:rPr>
          <w:rFonts w:ascii="Times New Roman;serif" w:hAnsi="Times New Roman;serif"/>
          <w:b/>
          <w:i/>
          <w:color w:val="000000"/>
          <w:sz w:val="20"/>
        </w:rPr>
      </w:pPr>
      <w:r>
        <w:rPr>
          <w:rFonts w:ascii="Times New Roman;serif" w:hAnsi="Times New Roman;serif"/>
          <w:b/>
          <w:i/>
          <w:color w:val="000000"/>
          <w:sz w:val="20"/>
        </w:rPr>
        <w:t>Business Realignment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began a review of the business, which will result in headcount reductions to focus resources on higher-performing areas of the business (the “Business Realignment”). In conjunction with the Business Realignment and for the three months ended June 30, 2026, the Company incurred expenses related to separation and transition benefits of $5.1 million, and the acceleration of equity-based compensation amortization of $8.6 million. Such amounts are presented in Compensation and benefits and Equity-based compensation on the Condensed Consolidated Statements of Operations, respectively. Approximately $8.5 million of additional expense is expected to be incurred during the second half of 2026. This estimate is based on certain assumptions, and actual results may differ materially if unanticipated costs are incurred related to the Business Realignment.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Activity within Accrued compensation and benefits on the Condensed Consolidated Statements of Financial Condition related to the Business Realignment was as follows:</w:t>
      </w:r>
    </w:p>
    <w:tbl>
      <w:tblPr>
        <w:tblW w:w="3336" w:type="dxa"/>
        <w:jc w:val="left"/>
        <w:tblInd w:w="0" w:type="dxa"/>
        <w:tblLayout w:type="fixed"/>
        <w:tblCellMar>
          <w:top w:w="28" w:type="dxa"/>
          <w:left w:w="28" w:type="dxa"/>
          <w:bottom w:w="28" w:type="dxa"/>
          <w:right w:w="28" w:type="dxa"/>
        </w:tblCellMar>
      </w:tblPr>
      <w:tblGrid>
        <w:gridCol w:w="853"/>
        <w:gridCol w:w="748"/>
        <w:gridCol w:w="754"/>
        <w:gridCol w:w="211"/>
        <w:gridCol w:w="61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January 1, 2026 </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Incurred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13,677 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Non-cash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13—Net Income (Loss) Per Share Attributable to Class A Common Shareholders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calculations of basic and diluted net income (loss) per share attributable to Class A common shareholders are presented below:</w:t>
      </w:r>
    </w:p>
    <w:tbl>
      <w:tblPr>
        <w:tblW w:w="10205" w:type="dxa"/>
        <w:jc w:val="left"/>
        <w:tblInd w:w="0" w:type="dxa"/>
        <w:tblLayout w:type="fixed"/>
        <w:tblCellMar>
          <w:top w:w="28" w:type="dxa"/>
          <w:left w:w="28" w:type="dxa"/>
          <w:bottom w:w="28" w:type="dxa"/>
          <w:right w:w="28" w:type="dxa"/>
        </w:tblCellMar>
      </w:tblPr>
      <w:tblGrid>
        <w:gridCol w:w="1593"/>
        <w:gridCol w:w="1303"/>
        <w:gridCol w:w="1311"/>
        <w:gridCol w:w="301"/>
        <w:gridCol w:w="885"/>
        <w:gridCol w:w="109"/>
        <w:gridCol w:w="109"/>
        <w:gridCol w:w="109"/>
        <w:gridCol w:w="109"/>
        <w:gridCol w:w="275"/>
        <w:gridCol w:w="806"/>
        <w:gridCol w:w="109"/>
        <w:gridCol w:w="109"/>
        <w:gridCol w:w="109"/>
        <w:gridCol w:w="109"/>
        <w:gridCol w:w="301"/>
        <w:gridCol w:w="885"/>
        <w:gridCol w:w="109"/>
        <w:gridCol w:w="109"/>
        <w:gridCol w:w="109"/>
        <w:gridCol w:w="109"/>
        <w:gridCol w:w="244"/>
        <w:gridCol w:w="837"/>
        <w:gridCol w:w="156"/>
      </w:tblGrid>
      <w:tr>
        <w:trPr/>
        <w:tc>
          <w:tcPr>
            <w:tcW w:w="159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Perella Weinberg Partners – basic</w:t>
            </w:r>
          </w:p>
        </w:tc>
        <w:tc>
          <w:tcPr>
            <w:tcW w:w="3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from assumed exchange of PWP OpCo Units, net of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from assumed vesting of PWP Incentive Plan Awards, net of tax</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Perella Weinberg Partners – diluted</w:t>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21,255 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74,162,048 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63,064,731 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72,290,670 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62,604,779 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incremental shares from assumed exchange of PWP OpCo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21,002,831 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25,567,176 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21,533,581 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incremental shares from assumed vesting of PWP Incentive Plan Awards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6,567,676 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10,199,400 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8,073,235 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11,950,427 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 – diluted</w:t>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101,732,555 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98,831,307 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101,897,486 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74,555,206 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Class A common shareholders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Times New Roman;serif" w:hAnsi="Times New Roman;serif"/>
                <w:b w:val="false"/>
                <w:color w:val="000000"/>
                <w:sz w:val="20"/>
              </w:rPr>
              <w:t>Diluted</w:t>
            </w:r>
            <w:r>
              <w:rPr>
                <w:rFonts w:ascii="Times New Roman;serif" w:hAnsi="Times New Roman;serif"/>
                <w:b w:val="false"/>
                <w:color w:val="000000"/>
                <w:sz w:val="13"/>
              </w:rPr>
              <w:t>(1)</w:t>
            </w:r>
          </w:p>
        </w:tc>
        <w:tc>
          <w:tcPr>
            <w:tcW w:w="3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40" w:before="60" w:after="283"/>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(1)Basic and diluted net income (loss) per share attributable to Class A common shareholders for the three months ended June 30, 2025 are the same due to rounding.</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Class B common shareholders has not been presented as these shares are entitled to an insignificant amount of economic participation.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tbl>
      <w:tblPr>
        <w:tblW w:w="6164" w:type="dxa"/>
        <w:jc w:val="left"/>
        <w:tblInd w:w="0" w:type="dxa"/>
        <w:tblLayout w:type="fixed"/>
        <w:tblCellMar>
          <w:top w:w="28" w:type="dxa"/>
          <w:left w:w="28" w:type="dxa"/>
          <w:bottom w:w="28" w:type="dxa"/>
          <w:right w:w="28" w:type="dxa"/>
        </w:tblCellMar>
      </w:tblPr>
      <w:tblGrid>
        <w:gridCol w:w="547"/>
        <w:gridCol w:w="481"/>
        <w:gridCol w:w="486"/>
        <w:gridCol w:w="208"/>
        <w:gridCol w:w="208"/>
        <w:gridCol w:w="208"/>
        <w:gridCol w:w="208"/>
        <w:gridCol w:w="208"/>
        <w:gridCol w:w="208"/>
        <w:gridCol w:w="208"/>
        <w:gridCol w:w="208"/>
        <w:gridCol w:w="208"/>
        <w:gridCol w:w="109"/>
        <w:gridCol w:w="109"/>
        <w:gridCol w:w="109"/>
        <w:gridCol w:w="203"/>
        <w:gridCol w:w="203"/>
        <w:gridCol w:w="178"/>
        <w:gridCol w:w="178"/>
        <w:gridCol w:w="178"/>
        <w:gridCol w:w="178"/>
        <w:gridCol w:w="540"/>
        <w:gridCol w:w="541"/>
        <w:gridCol w:w="252"/>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PWP OpCo Units</w:t>
            </w:r>
          </w:p>
        </w:tc>
        <w:tc>
          <w:tcPr>
            <w:tcW w:w="41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0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0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7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26,305,163 </w:t>
            </w:r>
          </w:p>
        </w:tc>
        <w:tc>
          <w:tcPr>
            <w:tcW w:w="25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14—Fair Value Measurements and Investments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measured and reported at fair value are classified and disclosed in one of the following categories (from highest to lowest) based on inputs:</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1—Unadjusted quoted prices are available in active markets for identical financial instruments as of the reporting date. </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2—Pricing inputs are observable inputs other than quoted prices included in Level 1, such as quoted prices for similar assets or liabilities in active markets or quoted prices for identical assets or liabilities in inactive markets. </w:t>
      </w:r>
    </w:p>
    <w:p>
      <w:pPr>
        <w:pStyle w:val="TextBody"/>
        <w:bidi w:val="0"/>
        <w:spacing w:lineRule="auto" w:line="240"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Level 3—Pricing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fair values of cash, restricted cash, accounts receivable, due from related parties, accounts payable and certain accrued liabilities approximate their carrying amounts due to the short-term nature of these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categorization and fair value estimate of the Company’s financial instruments that were measured on a recurring basis pursuant to the above fair value hierarchy levels as of June 30, 2026 and December 31, 2025:</w:t>
      </w:r>
    </w:p>
    <w:tbl>
      <w:tblPr>
        <w:tblW w:w="6570" w:type="dxa"/>
        <w:jc w:val="left"/>
        <w:tblInd w:w="0" w:type="dxa"/>
        <w:tblLayout w:type="fixed"/>
        <w:tblCellMar>
          <w:top w:w="28" w:type="dxa"/>
          <w:left w:w="28" w:type="dxa"/>
          <w:bottom w:w="28" w:type="dxa"/>
          <w:right w:w="28" w:type="dxa"/>
        </w:tblCellMar>
      </w:tblPr>
      <w:tblGrid>
        <w:gridCol w:w="798"/>
        <w:gridCol w:w="701"/>
        <w:gridCol w:w="705"/>
        <w:gridCol w:w="213"/>
        <w:gridCol w:w="411"/>
        <w:gridCol w:w="110"/>
        <w:gridCol w:w="109"/>
        <w:gridCol w:w="109"/>
        <w:gridCol w:w="109"/>
        <w:gridCol w:w="213"/>
        <w:gridCol w:w="411"/>
        <w:gridCol w:w="110"/>
        <w:gridCol w:w="109"/>
        <w:gridCol w:w="109"/>
        <w:gridCol w:w="109"/>
        <w:gridCol w:w="211"/>
        <w:gridCol w:w="616"/>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0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70" w:type="dxa"/>
        <w:jc w:val="left"/>
        <w:tblInd w:w="0" w:type="dxa"/>
        <w:tblLayout w:type="fixed"/>
        <w:tblCellMar>
          <w:top w:w="28" w:type="dxa"/>
          <w:left w:w="28" w:type="dxa"/>
          <w:bottom w:w="28" w:type="dxa"/>
          <w:right w:w="28" w:type="dxa"/>
        </w:tblCellMar>
      </w:tblPr>
      <w:tblGrid>
        <w:gridCol w:w="798"/>
        <w:gridCol w:w="701"/>
        <w:gridCol w:w="705"/>
        <w:gridCol w:w="213"/>
        <w:gridCol w:w="411"/>
        <w:gridCol w:w="110"/>
        <w:gridCol w:w="109"/>
        <w:gridCol w:w="109"/>
        <w:gridCol w:w="109"/>
        <w:gridCol w:w="213"/>
        <w:gridCol w:w="411"/>
        <w:gridCol w:w="110"/>
        <w:gridCol w:w="109"/>
        <w:gridCol w:w="109"/>
        <w:gridCol w:w="109"/>
        <w:gridCol w:w="211"/>
        <w:gridCol w:w="616"/>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0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transfers between fair value levels during the three and six months ended June 30, 2026 and 2025.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acquired Devon Park Advisors, LLC (the “Devon Park Acquisition”) under an arrangement that included contingent consideration whereby additional amounts may be earned if certain client engagements generate revenue within one year of the acquisition closing (the “Earn-out”). The Earn-out is presented at fair value within Accounts payable, accrued expenses and other liabilities on the Condensed Consolidated Statements of Financial Condition and adjustments to the fair value are recorded within Other income (expense) on the Condensed Consolidated Statements of Operations. The Earn-out is classified as Level 3 due to use of significant unobservable inputs in the discounted cash flow valuation model, including the application of probabilities when assessing when and whether performance thresholds will be met. Additional inputs utilized in the valuation of the Earn-out were as follows: </w:t>
      </w:r>
    </w:p>
    <w:tbl>
      <w:tblPr>
        <w:tblW w:w="5574" w:type="dxa"/>
        <w:jc w:val="left"/>
        <w:tblInd w:w="0" w:type="dxa"/>
        <w:tblLayout w:type="fixed"/>
        <w:tblCellMar>
          <w:top w:w="28" w:type="dxa"/>
          <w:left w:w="28" w:type="dxa"/>
          <w:bottom w:w="28" w:type="dxa"/>
          <w:right w:w="28" w:type="dxa"/>
        </w:tblCellMar>
      </w:tblPr>
      <w:tblGrid>
        <w:gridCol w:w="679"/>
        <w:gridCol w:w="596"/>
        <w:gridCol w:w="600"/>
        <w:gridCol w:w="282"/>
        <w:gridCol w:w="282"/>
        <w:gridCol w:w="711"/>
        <w:gridCol w:w="109"/>
        <w:gridCol w:w="109"/>
        <w:gridCol w:w="109"/>
        <w:gridCol w:w="384"/>
        <w:gridCol w:w="384"/>
        <w:gridCol w:w="957"/>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discount rate assumption reflects a blended corporate credit rating representative of comparable entities, considering the expected timing of cash outflows.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fair value of the Level 3 financial liabilities:</w:t>
      </w:r>
    </w:p>
    <w:tbl>
      <w:tblPr>
        <w:tblW w:w="6915" w:type="dxa"/>
        <w:jc w:val="left"/>
        <w:tblInd w:w="0" w:type="dxa"/>
        <w:tblLayout w:type="fixed"/>
        <w:tblCellMar>
          <w:top w:w="28" w:type="dxa"/>
          <w:left w:w="28" w:type="dxa"/>
          <w:bottom w:w="28" w:type="dxa"/>
          <w:right w:w="28" w:type="dxa"/>
        </w:tblCellMar>
      </w:tblPr>
      <w:tblGrid>
        <w:gridCol w:w="641"/>
        <w:gridCol w:w="563"/>
        <w:gridCol w:w="566"/>
        <w:gridCol w:w="422"/>
        <w:gridCol w:w="1234"/>
        <w:gridCol w:w="218"/>
        <w:gridCol w:w="109"/>
        <w:gridCol w:w="1636"/>
        <w:gridCol w:w="109"/>
        <w:gridCol w:w="109"/>
        <w:gridCol w:w="109"/>
        <w:gridCol w:w="211"/>
        <w:gridCol w:w="616"/>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c>
          <w:tcPr>
            <w:tcW w:w="1526" w:type="dxa"/>
            <w:gridSpan w:val="8"/>
            <w:tcBorders/>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2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2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Share settlements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2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2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15—Related Party Transactions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PWP Capital Holdings LP</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advisory business and (ii) PWP Capital Holdings LP (“Capital Holdings”), which holds the asset management business. Capital Holdings entered 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is included in Compensation and benefits on the Condensed Consolidated Statements of Operations.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entered into a tax receivable agreement with PWP OpCo, Professional Partners and 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June 30, 2026, the Company had a liability of $105.6 million pursuant to 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Statements of Financial Condition. The Company expects to make the following payments with respect to the tax receivable agreement, which are exclusive of potential payments in respect of future exchanges and may differ significantly from actual payments made:</w:t>
      </w:r>
    </w:p>
    <w:tbl>
      <w:tblPr>
        <w:tblW w:w="6464" w:type="dxa"/>
        <w:jc w:val="left"/>
        <w:tblInd w:w="0" w:type="dxa"/>
        <w:tblLayout w:type="fixed"/>
        <w:tblCellMar>
          <w:top w:w="28" w:type="dxa"/>
          <w:left w:w="28" w:type="dxa"/>
          <w:bottom w:w="28" w:type="dxa"/>
          <w:right w:w="28" w:type="dxa"/>
        </w:tblCellMar>
      </w:tblPr>
      <w:tblGrid>
        <w:gridCol w:w="607"/>
        <w:gridCol w:w="534"/>
        <w:gridCol w:w="539"/>
        <w:gridCol w:w="847"/>
        <w:gridCol w:w="3319"/>
        <w:gridCol w:w="618"/>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Years Ending:</w:t>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Payments Under Tax Receivable Agreement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16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416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416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4166"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416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80,748 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w:t>
            </w:r>
          </w:p>
        </w:tc>
        <w:tc>
          <w:tcPr>
            <w:tcW w:w="84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105,625 </w:t>
            </w:r>
          </w:p>
        </w:tc>
        <w:tc>
          <w:tcPr>
            <w:tcW w:w="61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Partner Loans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PWP OpCo and certain of its subsidiaries have agreed to provide loans to or make payments on behalf of certain partners. As of June 30, 2026 and December 31, 2025, $0.4 million and $0.6 million, respectively, of amounts due from partners are recognized in Due from related parties on the Condensed Consolidated Statements of Financial Condition. During the six months ended June 30, 2025, $0.5 million of principal and interest related to partner loans was effectively repaid through the cancellation of PWP OpCo Units held by such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Note 16—Commitments and Contingencies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certain contracts that contain a variety of indemnification provisions. The Company’s maximum exposure under these arrangements is unknown. As of June 30, 2026 and December 31, 2025, the Company expects no claims or losses pursuant to these contracts; therefore, no liability has been recorded related to these indemnification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June 30, 2026 and December 31, 2025 and for the three and six months ended June 30, 2026 and 2025.</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2015, the Company filed a complaint against three former partners and one former employee which alleges they entered into a scheme while at PWP to lift out the Company’s restructuring group to secretly form a new competing firm in breach of their contractual and fiduciary duties. The complaint contains 14 causes of action and seeks declaratory relief as well as damages. A bench trial took place from January 24, 2025 through March 14, 2025. The court has yet to issue a decision.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June 30, 2026, the Company recognized a net credit of $4.3 million in legal and professional fees related to this litigation, reflecting insurance recoveries in excess of previous estimates. During the six months ended June 30, 2025, the Company incurred $11.3 million of legal and professional fees related to this litigation, with nominal amounts incurred during the three months ended June 30, 2025. These litigation costs are included in Professional fees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17—Segment and Geographic Information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global independent advisory firm, the Company provides a range of advisory services depending on the needs of its clients, including advice related to M&amp;A execution, shareholder engagement advisory, financing and capital solutions, as well as underwriting and research services primarily for the energy and related industries. The Company provides advisory services to multiple industry sectors, geographic markets and clients, but the nature, process, delivery and regulatory complexities of advisory services are similar across the business. The Company is organized under an integrated approach to maximize the value of advice to clients by drawing upon the diversified expertise and broad relationships of its senior professionals. As such, the Company is managed on a consolidated basis, which results in one reportable segment: Advisory.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the Chief Executive Officer and Chairman, evaluates the performance of the Advisory segment and allocates resources based on consolidated net income (loss), as presented on the Consolidated Statements of Operations. The CODM uses consolidated net income (loss) to evaluate the profitability generated by segment assets and personnel and decides whether to reinvest any profits in the Advisory segment, such as through hiring, compensation management, and capital expenditures, or to return value to shareholders and partners, such as through share repurchases, cash-settled exchanges, net-settlement of equity-based awards, distributions, and dividends. The CODM is regularly provided with both actual and budgeted expense information on a consolidated basis that aligns with the expense categories as presented on the Condensed Consolidated Statements of Operations.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CODM does not review assets of the Advisory segment at a different level or category than what is presented as Total assets on the Condensed Consolidated Statements of Financial Condition. The accounting policies of the Company’s Advisory segment are the same as those described in Note 2—Summary of Significant Accounting Policies.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no individual client accounted for more than 10% of aggregate revenues.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tbl>
      <w:tblPr>
        <w:tblW w:w="8070" w:type="dxa"/>
        <w:jc w:val="left"/>
        <w:tblInd w:w="0" w:type="dxa"/>
        <w:tblLayout w:type="fixed"/>
        <w:tblCellMar>
          <w:top w:w="28" w:type="dxa"/>
          <w:left w:w="28" w:type="dxa"/>
          <w:bottom w:w="28" w:type="dxa"/>
          <w:right w:w="28" w:type="dxa"/>
        </w:tblCellMar>
      </w:tblPr>
      <w:tblGrid>
        <w:gridCol w:w="892"/>
        <w:gridCol w:w="781"/>
        <w:gridCol w:w="7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129,523 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252,302 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288,094 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international countries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9,356 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20,657 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156,525 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155,267 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305,442 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367,098 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Perella Weinberg Partners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Per Share Amounts and Where Otherwise Noted)</w:t>
      </w:r>
    </w:p>
    <w:tbl>
      <w:tblPr>
        <w:tblW w:w="5830" w:type="dxa"/>
        <w:jc w:val="left"/>
        <w:tblInd w:w="0" w:type="dxa"/>
        <w:tblLayout w:type="fixed"/>
        <w:tblCellMar>
          <w:top w:w="28" w:type="dxa"/>
          <w:left w:w="28" w:type="dxa"/>
          <w:bottom w:w="28" w:type="dxa"/>
          <w:right w:w="28" w:type="dxa"/>
        </w:tblCellMar>
      </w:tblPr>
      <w:tblGrid>
        <w:gridCol w:w="888"/>
        <w:gridCol w:w="782"/>
        <w:gridCol w:w="790"/>
        <w:gridCol w:w="234"/>
        <w:gridCol w:w="919"/>
        <w:gridCol w:w="121"/>
        <w:gridCol w:w="109"/>
        <w:gridCol w:w="109"/>
        <w:gridCol w:w="109"/>
        <w:gridCol w:w="313"/>
        <w:gridCol w:w="1228"/>
        <w:gridCol w:w="228"/>
      </w:tblGrid>
      <w:tr>
        <w:trPr/>
        <w:tc>
          <w:tcPr>
            <w:tcW w:w="8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4"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485,461 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588,736 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115,873 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149,365 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international countries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43,631 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59,536 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644,965 </w:t>
            </w:r>
          </w:p>
        </w:tc>
        <w:tc>
          <w:tcPr>
            <w:tcW w:w="1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20"/>
              </w:rPr>
            </w:pPr>
            <w:r>
              <w:rPr>
                <w:rFonts w:ascii="Times New Roman;serif" w:hAnsi="Times New Roman;serif"/>
                <w:b w:val="false"/>
                <w:color w:val="000000"/>
                <w:sz w:val="20"/>
              </w:rPr>
              <w:t>797,637 </w:t>
            </w:r>
          </w:p>
        </w:tc>
        <w:tc>
          <w:tcPr>
            <w:tcW w:w="2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Note 18—Subsequent Events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subsequent events through the issuance date of these condensed consolidated financial statements.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29, 2026, the Company’s Board of Directors declared a cash dividend of $0.07 per outstanding share of Class A common stock. This dividend will be paid on September 10, 2026 to Class A common stockholders of record on August 28, 2026. Holders of Class B common stock will also receive dividends equal to the amount of dividends declared on 0.001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40"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leading global independent advisory firm that provides strategic and financial advice to clients across some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our business, refer to “Part I. Item 1. Business” and “Part I. Item 1A. Risk Factors” in the Company’s Annual Report on Form 10-K for the year ended December 31, 2025 as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Business Environment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Economic and global financial market conditions impact our financial performance. 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“Risk Factors” included in our Annual Report on Form 10-K for a discussion of some of the factors that can affect our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 xml:space="preserve">Key Financial Measures </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expenses are classified as (i) total compensation and benefits expenses, including equity-based compensation, and (ii) non-compensation expenses.</w:t>
      </w:r>
    </w:p>
    <w:p>
      <w:pPr>
        <w:pStyle w:val="TextBody"/>
        <w:bidi w:val="0"/>
        <w:spacing w:lineRule="auto" w:line="240" w:before="240" w:after="240"/>
        <w:jc w:val="both"/>
        <w:rPr>
          <w:rFonts w:ascii="Times New Roman;serif" w:hAnsi="Times New Roman;serif"/>
          <w:b w:val="false"/>
          <w:i/>
          <w:color w:val="000000"/>
          <w:sz w:val="20"/>
        </w:rPr>
      </w:pPr>
      <w:r>
        <w:rPr>
          <w:rFonts w:ascii="Times New Roman;serif" w:hAnsi="Times New Roman;serif"/>
          <w:b w:val="false"/>
          <w:i/>
          <w:color w:val="000000"/>
          <w:sz w:val="20"/>
        </w:rPr>
        <w:t>Compensation and Benefits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compensation and benefits expenses consist of salaries, bonuses (discretionary awards and guaranteed amounts), severance, payroll and related 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Compensation is determined by management based on revenues earned, headcount, labor market conditions, and anticipated compensation requirements for our employees. Such factors can fluctuate, including headcount and revenues earned, and as a result, our compensation expenses may fluctuate materially in any particular period.</w:t>
      </w:r>
    </w:p>
    <w:p>
      <w:pPr>
        <w:pStyle w:val="TextBody"/>
        <w:bidi w:val="0"/>
        <w:spacing w:lineRule="auto" w:line="240" w:before="240" w:after="240"/>
        <w:jc w:val="both"/>
        <w:rPr>
          <w:rFonts w:ascii="Times New Roman;serif" w:hAnsi="Times New Roman;serif"/>
          <w:b w:val="false"/>
          <w:i/>
          <w:color w:val="000000"/>
          <w:sz w:val="20"/>
        </w:rPr>
      </w:pPr>
      <w:r>
        <w:rPr>
          <w:rFonts w:ascii="Times New Roman;serif" w:hAnsi="Times New Roman;serif"/>
          <w:b w:val="false"/>
          <w:i/>
          <w:color w:val="000000"/>
          <w:sz w:val="20"/>
        </w:rPr>
        <w:t>Non-Compensation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Non-Operating Income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 of their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respective periods indicated: </w:t>
      </w:r>
    </w:p>
    <w:tbl>
      <w:tblPr>
        <w:tblW w:w="10205" w:type="dxa"/>
        <w:jc w:val="left"/>
        <w:tblInd w:w="0" w:type="dxa"/>
        <w:tblLayout w:type="fixed"/>
        <w:tblCellMar>
          <w:top w:w="28" w:type="dxa"/>
          <w:left w:w="28" w:type="dxa"/>
          <w:bottom w:w="28" w:type="dxa"/>
          <w:right w:w="28" w:type="dxa"/>
        </w:tblCellMar>
      </w:tblPr>
      <w:tblGrid>
        <w:gridCol w:w="1220"/>
        <w:gridCol w:w="673"/>
        <w:gridCol w:w="639"/>
        <w:gridCol w:w="211"/>
        <w:gridCol w:w="826"/>
        <w:gridCol w:w="109"/>
        <w:gridCol w:w="109"/>
        <w:gridCol w:w="109"/>
        <w:gridCol w:w="109"/>
        <w:gridCol w:w="211"/>
        <w:gridCol w:w="826"/>
        <w:gridCol w:w="109"/>
        <w:gridCol w:w="109"/>
        <w:gridCol w:w="109"/>
        <w:gridCol w:w="109"/>
        <w:gridCol w:w="234"/>
        <w:gridCol w:w="234"/>
        <w:gridCol w:w="235"/>
        <w:gridCol w:w="109"/>
        <w:gridCol w:w="109"/>
        <w:gridCol w:w="109"/>
        <w:gridCol w:w="211"/>
        <w:gridCol w:w="826"/>
        <w:gridCol w:w="109"/>
        <w:gridCol w:w="109"/>
        <w:gridCol w:w="109"/>
        <w:gridCol w:w="109"/>
        <w:gridCol w:w="211"/>
        <w:gridCol w:w="826"/>
        <w:gridCol w:w="109"/>
        <w:gridCol w:w="109"/>
        <w:gridCol w:w="109"/>
        <w:gridCol w:w="109"/>
        <w:gridCol w:w="218"/>
        <w:gridCol w:w="218"/>
        <w:gridCol w:w="315"/>
      </w:tblGrid>
      <w:tr>
        <w:trPr/>
        <w:tc>
          <w:tcPr>
            <w:tcW w:w="12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53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2026 vs. 2025</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155,267 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237,954 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257,558 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313,288 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Non-operating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Total non-operating income (expenses)</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Perella Weinberg Partners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2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40" w:before="240" w:after="240"/>
        <w:ind w:left="0" w:right="0" w:firstLine="360"/>
        <w:jc w:val="both"/>
        <w:rPr/>
      </w:pPr>
      <w:r>
        <w:rPr>
          <w:rFonts w:ascii="Times New Roman;serif" w:hAnsi="Times New Roman;serif"/>
          <w:b w:val="false"/>
          <w:color w:val="000000"/>
          <w:sz w:val="20"/>
        </w:rPr>
        <w:t>The following table provides revenue statistics for the three and six</w:t>
      </w:r>
      <w:r>
        <w:rPr>
          <w:color w:val="000000"/>
        </w:rPr>
        <w:t xml:space="preserve"> </w:t>
      </w:r>
      <w:r>
        <w:rPr>
          <w:rFonts w:ascii="Times New Roman;serif" w:hAnsi="Times New Roman;serif"/>
          <w:b w:val="false"/>
          <w:color w:val="000000"/>
          <w:sz w:val="20"/>
        </w:rPr>
        <w:t>months ended June 30, 2026 and 2025:</w:t>
      </w:r>
    </w:p>
    <w:tbl>
      <w:tblPr>
        <w:tblW w:w="10205" w:type="dxa"/>
        <w:jc w:val="left"/>
        <w:tblInd w:w="0" w:type="dxa"/>
        <w:tblLayout w:type="fixed"/>
        <w:tblCellMar>
          <w:top w:w="28" w:type="dxa"/>
          <w:left w:w="28" w:type="dxa"/>
          <w:bottom w:w="28" w:type="dxa"/>
          <w:right w:w="28" w:type="dxa"/>
        </w:tblCellMar>
      </w:tblPr>
      <w:tblGrid>
        <w:gridCol w:w="1496"/>
        <w:gridCol w:w="1317"/>
        <w:gridCol w:w="1325"/>
        <w:gridCol w:w="175"/>
        <w:gridCol w:w="175"/>
        <w:gridCol w:w="176"/>
        <w:gridCol w:w="121"/>
        <w:gridCol w:w="121"/>
        <w:gridCol w:w="121"/>
        <w:gridCol w:w="175"/>
        <w:gridCol w:w="175"/>
        <w:gridCol w:w="176"/>
        <w:gridCol w:w="121"/>
        <w:gridCol w:w="121"/>
        <w:gridCol w:w="121"/>
        <w:gridCol w:w="367"/>
        <w:gridCol w:w="367"/>
        <w:gridCol w:w="368"/>
        <w:gridCol w:w="109"/>
        <w:gridCol w:w="109"/>
        <w:gridCol w:w="109"/>
        <w:gridCol w:w="175"/>
        <w:gridCol w:w="175"/>
        <w:gridCol w:w="176"/>
        <w:gridCol w:w="109"/>
        <w:gridCol w:w="109"/>
        <w:gridCol w:w="109"/>
        <w:gridCol w:w="175"/>
        <w:gridCol w:w="175"/>
        <w:gridCol w:w="176"/>
        <w:gridCol w:w="109"/>
        <w:gridCol w:w="109"/>
        <w:gridCol w:w="109"/>
        <w:gridCol w:w="335"/>
        <w:gridCol w:w="335"/>
        <w:gridCol w:w="484"/>
      </w:tblGrid>
      <w:tr>
        <w:trPr/>
        <w:tc>
          <w:tcPr>
            <w:tcW w:w="149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15"/>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2026 vs. 2025</w:t>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Advisory Clients</w:t>
            </w:r>
          </w:p>
        </w:tc>
        <w:tc>
          <w:tcPr>
            <w:tcW w:w="5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Total Clients with Fees Greater than or Equal to $1.0 million</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were $156.5 million for the three months ended June 30, 2026 as compared to $155.3 million for the three months ended June 30, 2025, an increase of 1%. In the current period, higher mergers and acquisitions activity, driven by an increase in the number of related fee events, was partially offset by decreased financing and capital solutions activity.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were $305.4 million for the six months ended June 30, 2026 as compared to $367.1 million for the six months ended June 30, 2025, a decrease of 17%. The decrease in revenues was driven by a lower average fee per client and decreased financing and capital solutions activity, partially offset by increased mergers and acquisitions activity.</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Compensation and Benefits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total compensation and benefits expenses were $115.9 million, an increase of 7% compared to $108.3 million for the three months ended June 30, 2025. The increase was primarily the result of a higher non-bonus compensation base, reflecting the impact of recent investments in new hires. It also reflected Business Realignment costs, including separation and transition benefits and the accelerated amortization of equity-based awards.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total compensation and benefits expenses were $238.0 million, a decrease of 8% compared to $257.6 million for the six months ended June 30, 2025. The decrease was primarily driven by a lower discretionary bonus accrual on lower revenues. Excluding the lower bonus accrual, compensation expense increased year-over-year due to a higher non-bonus compensation base, reflecting the impact of recent investments in new hires, and from Business Realignment costs. The higher compensation margin period-over-period reflects the decline in revenues on an absolute dollar basis against a higher non-bonus compensation base.</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Non-Compensation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total non-compensation expenses were $35.6 million, a decrease of 6% compared to $38.0 million for the three months ended June 30, 2025. The decrease was primarily driven by lower professional fees due to litigation insurance recoveries in excess of previous estimates, a decrease in rent expense due to sublease income, and lower general, administrative and other expenses. The overall decrease was partially offset by an increase in intangible asset amortization related to the Devon Park Acquisition.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total non-compensation expenses were $75.3 million, a decrease of 15% compared to $88.9 million for the six months ended June 30, 2025. The decrease was primarily driven by lower professional fees due to reduced litigation spend coupled with related insurance recoveries in excess of previous estimates, a decrease in bad debt expense, and a decrease in rent expense due to sublease income. This decrease was partially offset by increases in technology costs and intangible asset amortization.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Non-Operating Income (Expenses)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non-operating income was $1.0 million compared to non-operating expenses of $2.7 million for the three months ended June 30, 2025. In the current period, non-operating income included interest income, a gain on the change in fair value of the Earn-out, and a net loss from foreign exchange rate fluctuations. Non-operating expenses in the prior year period included a larger net loss from foreign exchange rate fluctuations, which was partially offset by interest income.</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non-operating income was $3.3 million compared to non-operating expenses of $2.5 million for the six months ended June 30, 2025. In the current period, non-operating income primarily included interest income, a gain on the change in fair value of the Earn-out, and a net gain from foreign exchange rate fluctuations. Non-operating expenses in the prior year period included a net loss from foreign exchange rate fluctuations, which was partially offset by interest income. For all periods, the impact of foreign exchange rate fluctuations was largely related to U.S. dollar-denominated cash and intercompany receivables held by our foreign subsidiaries.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income tax benefit and effective tax rate were $(0.2) million and (4.1)%, respectively, for the three months ended June 30, 2026 compared to an income tax expense and effective tax rate of $2.0 million and 31.7%, respectively, for the three months ended June 30, 2025.</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benefit and effective tax rate were $(10.1) million and 222.6%, respectively, for the six months ended June 30, 2026 compared to an income tax benefit and effective tax rate of $(7.5) million and (41.3)%, respectively, for the six months ended June 30, 2025.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 in the effective tax rate in each period was primarily due to the relative size of our permanent differences in relation to the pre-tax income (loss) in the respective periods. In addition, the Company recognized an $8.7 million tax benefit associated with the appreciation in our share price upon vesting of RSUs above the original grant price during the six months ended June 30, 2026 compared to $12.6 million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monitor our liquidity position, including cash, working capital assets and liabilities, commitments and other requirements. Our primary sources of liquidity are generally our cash balances, the net cash generated from operations, and the available borrowing capacity under our Revolving Credit Facility. Our primary cash needs are typically for working capital, operating expenses (including cash compensation for our employees), repurchasing shares of the Company’s Class A common stock, withholding tax payments for vested PWP Incentive Plan Awards, cash-settled exchanges of PWP OpCo Units, income taxes, dividends and distributions, capital expenditures, making payments pursuant to the tax receivable agreement, commitments, and strategic investments. We generally pay a significant portion of our annual cash incentive compensation during the first quarter of each calendar year with respect to the prior year’s results. Therefore, cash levels generally decline during the first quarter and build over the remainder of the year.</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assets are typically composed of cash, receivables related to fees earned from providing advisory services, certain prepaid expenses and certain amounts due from related parties. Our current liabilities are primarily composed of accrued employee compensation, accounts payable and other accrued expenses. Cash and cash equivalents include cash held at banks, including interest-bearing money market accounts, and any short-term highly liquid investments that have original maturities of three months or less from the date of purchase. As of June 30, 2026 and December 31, 2025, the Company had cash balances of $115.8 million and $255.9 million, respectively, and no cash equivalents.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liquidity is highly dependent upon cash receipts from clients, which generally require the successful completion of transactions. Accounts receivable typically have net terms of 30 days. Accounts receivable, net of allowance for credit losses, were $36.2 million and $62.7 million as of June 30, 2026 and December 31, 2025, respectively.</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Revolving Credit Facility with Cadence Bank with an available line of credit of $50.0 million. Additionally, up to $20.0 million of incremental revolving commitments above the $50.0 million commitment amount may be incurred under the Credit Agreement. As of June 30, 2026, we had no outstanding balance related to the Revolving Credit Facility and no incremental revolving commitments were incurred. For further information on the Revolving Credit Facility, refer to Note 9—Debt in the notes to condensed consolidated financial statements included elsewhere in this Form 10-Q.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current market conditions, we believe that our cash on hand,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operating, investing and financing cash flows is as follows:</w:t>
      </w:r>
    </w:p>
    <w:tbl>
      <w:tblPr>
        <w:tblW w:w="8994" w:type="dxa"/>
        <w:jc w:val="left"/>
        <w:tblInd w:w="0" w:type="dxa"/>
        <w:tblLayout w:type="fixed"/>
        <w:tblCellMar>
          <w:top w:w="28" w:type="dxa"/>
          <w:left w:w="28" w:type="dxa"/>
          <w:bottom w:w="28" w:type="dxa"/>
          <w:right w:w="28" w:type="dxa"/>
        </w:tblCellMar>
      </w:tblPr>
      <w:tblGrid>
        <w:gridCol w:w="2291"/>
        <w:gridCol w:w="2017"/>
        <w:gridCol w:w="2022"/>
        <w:gridCol w:w="211"/>
        <w:gridCol w:w="826"/>
        <w:gridCol w:w="109"/>
        <w:gridCol w:w="109"/>
        <w:gridCol w:w="109"/>
        <w:gridCol w:w="109"/>
        <w:gridCol w:w="211"/>
        <w:gridCol w:w="82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Cash Provided By (Used In)</w:t>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 and other operating activity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activities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(120,394)</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(186,581)</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146,190 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Six Months Ended June 30, 2026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activities resulted in a net cash outflow of $60.9 million primarily attributable to cash operating expense outflows, including discretionary bonuses paid during the first quarter of 2026 with respect to prior year compensation expense, partially offset by cash collections from clients.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activities resulted in a net cash outflow of $3.7 million attributable to purchases of fixed assets.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Financing activities resulted in a net cash outflow of $72.7 million primarily due to withholding tax payments for vested PWP Incentive Plan Awards, dividend payments, and distributions to partners.</w:t>
      </w:r>
    </w:p>
    <w:p>
      <w:pPr>
        <w:pStyle w:val="TextBody"/>
        <w:bidi w:val="0"/>
        <w:spacing w:lineRule="auto" w:line="240" w:before="240" w:after="24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2025</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activities resulted in a net cash outflow of $120.4 million primarily attributable to cash operating expense outflows, including discretionary bonuses paid during the first quarter of 2025 with respect to prior year compensation expense, partially offset by cash collections from clients.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activities resulted in a net cash inflow of $73.1 million attributable to the maturation of investments in U.S. Treasury securities, which was nominally offset by capital expenditures related to office space renovations.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Financing activities resulted in a net cash outflow of $144.7 million primarily due to withholding tax payments for vested PWP Incentive Plan Awards, the cash settlement of exchanges of PWP OpCo Units, share repurchases, and dividend payments.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approved a stock repurchase program under which we are authorized to repurchase up to $200.0 million of our Class A common stock with no requirement to purchase any minimum number of shares. As of June 30, 2026, $60.2 million remains of the $200.0 million authorized for share repurchases.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Rights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limited partnership agreement of PWP OpCo, holders of PWP OpCo Units (other than the Company) may exchange these units for (i) shares of Class A common stock on a one-for-one basis or (ii) cash from an offering of shares of Class A common stock and (iii) cash from any other source. Whether future exchanges are settled in cash or shares of Class A common stock is at our discretion and will depend on our liquidity and capital resources, market conditions, the timing and concentration of exchange elections and other factors. See Note 10—Stockholders’ Equity and Redeemable Non-Controlling Interests in the notes to the condensed consolidated financial statements included elsewhere in this Form 10-Q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Regulatory Capital</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an amount due of $105.6 million pursuant to the tax receivable agreement, which represents management’s best estimate of the amounts currently expected to be owed in connection with the tax receivable agreement for the Business Combination and subsequent exchanges made to date. See Note 15—Related Party Transactions in the notes to the condensed consolidated financial statements included elsewhere in this Form 10-Q for further information as well as the expected timing of payments.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non-cancelable operating leases for our office space and certain equipment. As of June 30, 2026, we had $179.3 million of operating lease liabilities. See Note 4—Leases in the notes to condensed consolidated financial statements included elsewhere in this Form 10-Q for further information as well as the expected timing of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Market Risk and Credit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not capital-intensive and we do not invest in derivative instruments. We are not subject to significant market risk (including interest rate risk and commodity price risk) or significant credit risk.</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Risks Related to Cash and Cash Equivalents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 for credit losses that, in our opinion, provides for an adequate reserve to cover current expected credit losses. Refer to Note 2—Summary of Significant Accounting Policies in the notes to condensed consolidated financial statements included elsewhere in this Form 10-Q for further information.</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we invest our excess cash, we manage our credit risk exposure by holding investments primarily with investment grade credit quality.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Exchange Rate Risk</w:t>
      </w:r>
    </w:p>
    <w:p>
      <w:pPr>
        <w:pStyle w:val="TextBody"/>
        <w:bidi w:val="0"/>
        <w:spacing w:lineRule="auto" w:line="240" w:before="240" w:after="240"/>
        <w:ind w:left="0" w:right="0" w:firstLine="360"/>
        <w:jc w:val="both"/>
        <w:rPr/>
      </w:pPr>
      <w:r>
        <w:rPr>
          <w:rFonts w:ascii="Times New Roman;serif" w:hAnsi="Times New Roman;serif"/>
          <w:b w:val="false"/>
          <w:color w:val="000000"/>
          <w:sz w:val="20"/>
        </w:rPr>
        <w:t>We are exposed to exchange rate risk as a result of having foreign subsidiaries with non-U.S. dollar functional currencies as well as from entering into transactions and holding monetary assets and liabilities that are not denominated in the functional currency of our operating subsidiaries. Specifically, the reported amounts in our consolidated financial statements may be affected by movements in the rate of exchange between the pound sterling, euro, and Canadian dollar and our reporting currency, the U.S. dollar.</w:t>
      </w:r>
      <w:r>
        <w:rPr>
          <w:color w:val="000000"/>
        </w:rPr>
        <w:t xml:space="preserve"> </w:t>
      </w:r>
      <w:r>
        <w:rPr>
          <w:rFonts w:ascii="Times New Roman;serif" w:hAnsi="Times New Roman;serif"/>
          <w:b w:val="false"/>
          <w:color w:val="000000"/>
          <w:sz w:val="20"/>
        </w:rPr>
        <w:t>For the six months ended June 30, 2026 and 2025, the net impact of non-functional currency related transaction gains (losses) recorded in Other income (expense) on our Condensed Consolidated Statements of Operations was $0.8 million and $(4.5) million, respectively, primarily related to U.S. dollar-denominated cash and intercompany receivables held by our foreign subsidiaries as foreign exchange rates fluctuated. For the six months ended June 30, 2026 and 2025, the net impact from the fluctuation of foreign currencies recorded in Foreign currency translation gain (loss) on our Condensed Consolidated Statements of Comprehensive Income (Loss) was $(1.8) million and $7.8 million, respectively. We have not entered into any transactions to hedge our exposure to these foreign currency fluctuations using derivative instruments or other methods but may do so if we deem appropriate in the future. As of June 30, 2026, we held cash balances of $24.4 million in non-U.S. dollar currencies, composed of pound sterling, euros, and Canadian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included elsewhere in this Form 10-Q are prepared in accordance with U.S. GAAP, which requires management to make estimates and assumptions that affect the reported amounts of assets, liabilities, revenues, expenses, and the disclosure of contingent assets and liabilities. Actual results could differ from those estimates. Estimates and the assumptions underlying these estimates are reviewed periodically, and the effects of revisions are reflected in the period in which they are determined to be necessary. There have been no material changes to our critical accounting estimates from those described in our Annual Report on Form 10-K filed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 are set forth above in “Management’s Discussion and Analysis of Financial Condition and Results of Operations – Market Risk and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Item 4 includes information concerning the controls and controls evaluation referred to in the certifications of our Chief Executive Officer and Chief Financial Officer required by Rule 13a-14 of the Exchange Act included in this Quarterly Report on Form 10-Q as Exhibits 31.1 and 31.2.</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June 30, 2026.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principal financial officer, on a timely basis to ensure that it is recorded, processed, summarized and reported within the time periods specified in the SEC’s rules and forms.</w:t>
      </w:r>
    </w:p>
    <w:p>
      <w:pPr>
        <w:pStyle w:val="TextBody"/>
        <w:bidi w:val="0"/>
        <w:spacing w:lineRule="auto" w:line="240" w:before="240" w:after="240"/>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Exchange Act Rules 13a-15(f) and 15d-15(f)) during the three months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details on the current legal proceedings, refer to Note 16—Commitments and Contingencies in the notes to condensed consolidated financial statements included elsewhere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or updates to our risk factors that were previously disclosed in “Part I. Item 1A. Risk Factors” in the Company’s Annual Report on Form 10-K for the year ended December 31, 2025 as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Repurchases of Equity Securities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repurchase of equity securities during the three months ended June 30, 2026:</w:t>
      </w:r>
    </w:p>
    <w:tbl>
      <w:tblPr>
        <w:tblW w:w="10205" w:type="dxa"/>
        <w:jc w:val="left"/>
        <w:tblInd w:w="0" w:type="dxa"/>
        <w:tblLayout w:type="fixed"/>
        <w:tblCellMar>
          <w:top w:w="28" w:type="dxa"/>
          <w:left w:w="28" w:type="dxa"/>
          <w:bottom w:w="28" w:type="dxa"/>
          <w:right w:w="28" w:type="dxa"/>
        </w:tblCellMar>
      </w:tblPr>
      <w:tblGrid>
        <w:gridCol w:w="373"/>
        <w:gridCol w:w="328"/>
        <w:gridCol w:w="330"/>
        <w:gridCol w:w="109"/>
        <w:gridCol w:w="109"/>
        <w:gridCol w:w="109"/>
        <w:gridCol w:w="527"/>
        <w:gridCol w:w="527"/>
        <w:gridCol w:w="528"/>
        <w:gridCol w:w="109"/>
        <w:gridCol w:w="109"/>
        <w:gridCol w:w="109"/>
        <w:gridCol w:w="337"/>
        <w:gridCol w:w="648"/>
        <w:gridCol w:w="175"/>
        <w:gridCol w:w="109"/>
        <w:gridCol w:w="109"/>
        <w:gridCol w:w="109"/>
        <w:gridCol w:w="735"/>
        <w:gridCol w:w="735"/>
        <w:gridCol w:w="737"/>
        <w:gridCol w:w="109"/>
        <w:gridCol w:w="109"/>
        <w:gridCol w:w="109"/>
        <w:gridCol w:w="424"/>
        <w:gridCol w:w="2174"/>
        <w:gridCol w:w="319"/>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yet to be Purchased Under the Publicly Announced Plans or Programs</w:t>
            </w:r>
            <w:r>
              <w:rPr>
                <w:rFonts w:ascii="Times New Roman;serif" w:hAnsi="Times New Roman;serif"/>
                <w:b/>
                <w:color w:val="000000"/>
                <w:sz w:val="13"/>
              </w:rPr>
              <w:t>(1)</w:t>
            </w:r>
          </w:p>
        </w:tc>
      </w:tr>
      <w:tr>
        <w:trPr/>
        <w:tc>
          <w:tcPr>
            <w:tcW w:w="103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60,167,441 </w:t>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60,167,441 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60,167,441 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52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73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with no requirement to purchase any minimum number of shares. Shares may be repurchased under the repurchase program through open market purchases, privately negotiated transactions, block trades, accelerated or other structured share repurchase programs, or other means. The manner, timing, pricing and amount of any transactions will be subject to the Company’s discretion and may be based upon market conditions and alternative opportunities that the Company may have for the use or investment of its capital. The repurchase program may be modified, suspended or discontinued at any time.</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reported, on October 1, 2025, the Company completed the acquisition of Devon Park Advisors, LLC, which involved equity consideration of 1,065,110 shares of Class A common stock to be delivered in three equal installments, with the first delivered at closing and the remaining to be delivered in the third quarters of 2026 and 2027. On April 15, 2026, we issued 3,781 shares of our Class A common stock as consideration earned for certain pre-existing client engagements that generated revenue within one year of closing. These issuances did not involve any underwriters, underwriting discounts or commissions, or a public offering, and such issuances were exempt from registration requirements pursuant to Section 4(a)(2)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40" w:before="240" w:after="240"/>
        <w:jc w:val="both"/>
        <w:rPr>
          <w:rFonts w:ascii="Times New Roman;serif" w:hAnsi="Times New Roman;serif"/>
          <w:b/>
          <w:i/>
          <w:color w:val="000000"/>
          <w:sz w:val="20"/>
        </w:rPr>
      </w:pPr>
      <w:r>
        <w:rPr>
          <w:rFonts w:ascii="Times New Roman;serif" w:hAnsi="Times New Roman;serif"/>
          <w:b/>
          <w:i/>
          <w:color w:val="000000"/>
          <w:sz w:val="20"/>
        </w:rPr>
        <w:t>Insider Trading Arrangements and Policies</w:t>
      </w:r>
    </w:p>
    <w:p>
      <w:pPr>
        <w:pStyle w:val="TextBody"/>
        <w:bidi w:val="0"/>
        <w:spacing w:lineRule="auto" w:line="240"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636"/>
        <w:gridCol w:w="2636"/>
        <w:gridCol w:w="376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14" w:after="283"/>
              <w:jc w:val="left"/>
              <w:rPr/>
            </w:pPr>
            <w:hyperlink w:anchor="pwpq2202610-q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2202610-q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2202610-q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14" w:after="283"/>
              <w:jc w:val="left"/>
              <w:rPr/>
            </w:pPr>
            <w:hyperlink w:anchor="pwpq2202610-q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9" w:type="dxa"/>
            <w:gridSpan w:val="3"/>
            <w:tcBorders/>
            <w:vAlign w:val="center"/>
          </w:tcPr>
          <w:p>
            <w:pPr>
              <w:pStyle w:val="TableContents"/>
              <w:bidi w:val="0"/>
              <w:spacing w:before="0" w:after="283"/>
              <w:jc w:val="left"/>
              <w:rPr>
                <w:sz w:val="4"/>
                <w:szCs w:val="4"/>
              </w:rPr>
            </w:pPr>
            <w:r>
              <w:rPr>
                <w:sz w:val="4"/>
                <w:szCs w:val="4"/>
              </w:rPr>
            </w:r>
          </w:p>
        </w:tc>
      </w:tr>
      <w:tr>
        <w:trPr/>
        <w:tc>
          <w:tcPr>
            <w:tcW w:w="8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240" w:after="240"/>
        <w:ind w:left="0" w:right="0" w:firstLine="360"/>
        <w:jc w:val="both"/>
        <w:rPr/>
      </w:pPr>
      <w:r>
        <w:rPr/>
      </w:r>
    </w:p>
    <w:p>
      <w:pPr>
        <w:pStyle w:val="TextBody"/>
        <w:bidi w:val="0"/>
        <w:spacing w:lineRule="auto" w:line="240" w:before="240" w:after="240"/>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2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987" w:type="dxa"/>
        <w:jc w:val="left"/>
        <w:tblInd w:w="0" w:type="dxa"/>
        <w:tblLayout w:type="fixed"/>
        <w:tblCellMar>
          <w:top w:w="28" w:type="dxa"/>
          <w:left w:w="28" w:type="dxa"/>
          <w:bottom w:w="28" w:type="dxa"/>
          <w:right w:w="28" w:type="dxa"/>
        </w:tblCellMar>
      </w:tblPr>
      <w:tblGrid>
        <w:gridCol w:w="618"/>
        <w:gridCol w:w="544"/>
        <w:gridCol w:w="547"/>
        <w:gridCol w:w="328"/>
        <w:gridCol w:w="328"/>
        <w:gridCol w:w="328"/>
        <w:gridCol w:w="328"/>
        <w:gridCol w:w="328"/>
        <w:gridCol w:w="328"/>
        <w:gridCol w:w="1541"/>
        <w:gridCol w:w="1541"/>
        <w:gridCol w:w="222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PERELLA WEINBERG PARTNERS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9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color w:val="000000"/>
                <w:sz w:val="20"/>
              </w:rPr>
            </w:pPr>
            <w:r>
              <w:rPr>
                <w:rFonts w:ascii="Times New Roman;serif" w:hAnsi="Times New Roman;serif"/>
                <w:b/>
                <w:color w:val="000000"/>
                <w:sz w:val="20"/>
              </w:rPr>
              <w:t>Chief Executive Officer and Chairman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9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Chief Financial Officer and Chief Operating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4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Andrew Bednar,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Perella Weinberg Partners;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45"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997"/>
        <w:gridCol w:w="997"/>
        <w:gridCol w:w="141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 and Chairman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Alexandra Gottschalk,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Perella Weinberg Partners;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955"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1320"/>
        <w:gridCol w:w="1320"/>
        <w:gridCol w:w="187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Chief Operating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June 30, 2026,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845"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997"/>
        <w:gridCol w:w="997"/>
        <w:gridCol w:w="141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BEDNAR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Andrew Bednar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 and Chairman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June 30, 2026, as filed by Perella Weinberg Partners (the “Company”)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955"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1320"/>
        <w:gridCol w:w="1320"/>
        <w:gridCol w:w="187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Alexandra Gottschalk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Chief Operating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17001</Words>
  <Characters>97588</Characters>
  <CharactersWithSpaces>113546</CharactersWithSpaces>
  <Paragraphs>2389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