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2025</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2025, Perella Weinberg Partners (the “Company”) issued a press release announcing its financial results for the full year and fourth quarter ended December 31, 2024.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February 7, 2025</w:t>
            </w:r>
          </w:p>
        </w:tc>
        <w:tc>
          <w:tcPr>
            <w:tcW w:w="54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Full Year and Fourth Quarter 2024 Results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Full Year</w:t>
      </w:r>
    </w:p>
    <w:p>
      <w:pPr>
        <w:spacing w:after="0" w:line="204"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$878 Million, Up 35% From a Year Ago</w:t>
      </w:r>
    </w:p>
    <w:p>
      <w:pPr>
        <w:spacing w:after="0" w:line="202"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Pre-Tax Income of $137 Million, GAAP Pre-Tax Loss of $(68) Million</w:t>
      </w:r>
    </w:p>
    <w:p>
      <w:pPr>
        <w:spacing w:after="0" w:line="175"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$0.96; GAAP Diluted EPS of $(1.22)</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Fourth Quarter</w:t>
      </w:r>
    </w:p>
    <w:p>
      <w:pPr>
        <w:spacing w:after="0" w:line="191"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$226 Million, Up 6%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Pre-Tax Income of $40 Million, GAAP Pre-Tax Income of $28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$0.26; GAAP Diluted EPS of $0.30</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91"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Added Five Partners and Eleven Managing Directors in 2024</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1"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$407 Million of Cash and Short-Term Investments and No Debt</w:t>
      </w:r>
    </w:p>
    <w:p>
      <w:pPr>
        <w:spacing w:after="0" w:line="188" w:lineRule="exact"/>
        <w:rPr>
          <w:rFonts w:ascii="Arial" w:cs="Arial" w:eastAsia="Arial" w:hAnsi="Arial"/>
          <w:sz w:val="20"/>
          <w:szCs w:val="20"/>
          <w:i w:val="1"/>
          <w:iCs w:val="1"/>
          <w:color w:val="auto"/>
        </w:rPr>
      </w:pPr>
    </w:p>
    <w:p>
      <w:pPr>
        <w:ind w:left="580" w:right="1600" w:hanging="329"/>
        <w:spacing w:after="0" w:line="271" w:lineRule="auto"/>
        <w:tabs>
          <w:tab w:leader="none" w:pos="56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Retired Approximately 14.5 Million Shares and Share Equivalents through Purchase, Exchange and Net Settlement in 2024</w:t>
      </w:r>
    </w:p>
    <w:p>
      <w:pPr>
        <w:spacing w:after="0" w:line="12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Returned $282 Million in Aggregate to Equity Holders in 2024</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889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240" w:right="140"/>
        <w:spacing w:after="0" w:line="318" w:lineRule="auto"/>
        <w:rPr>
          <w:sz w:val="20"/>
          <w:szCs w:val="20"/>
          <w:color w:val="auto"/>
        </w:rPr>
      </w:pPr>
      <w:r>
        <w:rPr>
          <w:rFonts w:ascii="Arial" w:cs="Arial" w:eastAsia="Arial" w:hAnsi="Arial"/>
          <w:sz w:val="20"/>
          <w:szCs w:val="20"/>
          <w:color w:val="auto"/>
        </w:rPr>
        <w:t>“Our record 2024 results were driven by strong momentum across our platform, with higher year-over-year revenue recorded in all service lines. Our clients place a high value on tailored, trusted advice and continue to select Perella Weinberg for their most transformative transactions. We begin 2025 with improving market conditions and remain focused on helping our clients tackle increasingly complex strategic and financial challenges,”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20"/>
        <w:spacing w:after="0" w:line="344" w:lineRule="auto"/>
        <w:rPr>
          <w:sz w:val="20"/>
          <w:szCs w:val="20"/>
          <w:color w:val="auto"/>
        </w:rPr>
      </w:pPr>
      <w:r>
        <w:rPr>
          <w:rFonts w:ascii="Arial" w:cs="Arial" w:eastAsia="Arial" w:hAnsi="Arial"/>
          <w:sz w:val="20"/>
          <w:szCs w:val="20"/>
          <w:b w:val="1"/>
          <w:bCs w:val="1"/>
          <w:color w:val="auto"/>
        </w:rPr>
        <w:t xml:space="preserve">NEW YORK, NY, February 7, 2025 </w:t>
      </w:r>
      <w:r>
        <w:rPr>
          <w:rFonts w:ascii="Arial" w:cs="Arial" w:eastAsia="Arial" w:hAnsi="Arial"/>
          <w:sz w:val="20"/>
          <w:szCs w:val="20"/>
          <w:color w:val="auto"/>
        </w:rPr>
        <w:t>– Perella Weinberg Partners (the “Firm” or “PWP”) (NASDAQ:PWP)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full year and fourth quarter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Revenues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For the twelve months ended December 31, 2024, revenues were $878.0 million, an increase of 35% from $648.7 million for the twelve months ended December 31, 2023. For the fourth quarter of 2024, revenues were $225.7 million, an increase of 6% from $212.7 million for the fourth quarter of 2023. The higher revenues in both current year periods were driven by larger transactions in size and number across the business. For the full year, revenues attributable to mergers and acquisition and financing and capital solutions activity were both up period-over-period. For the fourth quarter, revenues attributable to mergers and acquisition activity were lower due to a single large fee in the prior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p>
        </w:tc>
        <w:tc>
          <w:tcPr>
            <w:tcW w:w="240" w:type="dxa"/>
            <w:vAlign w:val="bottom"/>
            <w:tcBorders>
              <w:bottom w:val="single" w:sz="8" w:color="B6B6B6"/>
            </w:tcBorders>
          </w:tcPr>
          <w:p>
            <w:pPr>
              <w:spacing w:after="0"/>
              <w:rPr>
                <w:sz w:val="20"/>
                <w:szCs w:val="20"/>
                <w:color w:val="auto"/>
              </w:rPr>
            </w:pPr>
          </w:p>
        </w:tc>
        <w:tc>
          <w:tcPr>
            <w:tcW w:w="720" w:type="dxa"/>
            <w:vAlign w:val="bottom"/>
            <w:tcBorders>
              <w:bottom w:val="single" w:sz="8" w:color="B6B6B6"/>
            </w:tcBorders>
          </w:tcPr>
          <w:p>
            <w:pPr>
              <w:spacing w:after="0"/>
              <w:rPr>
                <w:sz w:val="20"/>
                <w:szCs w:val="20"/>
                <w:color w:val="auto"/>
              </w:rPr>
            </w:pPr>
          </w:p>
        </w:tc>
        <w:tc>
          <w:tcPr>
            <w:tcW w:w="3140" w:type="dxa"/>
            <w:vAlign w:val="bottom"/>
            <w:tcBorders>
              <w:bottom w:val="single" w:sz="8" w:color="B6B6B6"/>
            </w:tcBorders>
            <w:gridSpan w:val="5"/>
          </w:tcPr>
          <w:p>
            <w:pPr>
              <w:jc w:val="right"/>
              <w:spacing w:after="0"/>
              <w:rPr>
                <w:sz w:val="20"/>
                <w:szCs w:val="20"/>
                <w:color w:val="auto"/>
              </w:rPr>
            </w:pPr>
            <w:r>
              <w:rPr>
                <w:rFonts w:ascii="Arial" w:cs="Arial" w:eastAsia="Arial" w:hAnsi="Arial"/>
                <w:sz w:val="18"/>
                <w:szCs w:val="18"/>
                <w:b w:val="1"/>
                <w:bCs w:val="1"/>
                <w:color w:val="503C64"/>
                <w:w w:val="98"/>
              </w:rPr>
              <w:t>Twelve Months Ended December 31,</w:t>
            </w:r>
          </w:p>
        </w:tc>
        <w:tc>
          <w:tcPr>
            <w:tcW w:w="9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B6B6B6"/>
            </w:tcBorders>
          </w:tcPr>
          <w:p>
            <w:pPr>
              <w:spacing w:after="0"/>
              <w:rPr>
                <w:sz w:val="19"/>
                <w:szCs w:val="19"/>
                <w:color w:val="auto"/>
              </w:rPr>
            </w:pPr>
          </w:p>
        </w:tc>
        <w:tc>
          <w:tcPr>
            <w:tcW w:w="240" w:type="dxa"/>
            <w:vAlign w:val="bottom"/>
            <w:tcBorders>
              <w:bottom w:val="single" w:sz="8" w:color="B6B6B6"/>
            </w:tcBorders>
          </w:tcPr>
          <w:p>
            <w:pPr>
              <w:spacing w:after="0"/>
              <w:rPr>
                <w:sz w:val="19"/>
                <w:szCs w:val="19"/>
                <w:color w:val="auto"/>
              </w:rPr>
            </w:pPr>
          </w:p>
        </w:tc>
        <w:tc>
          <w:tcPr>
            <w:tcW w:w="720" w:type="dxa"/>
            <w:vAlign w:val="bottom"/>
            <w:tcBorders>
              <w:bottom w:val="single" w:sz="8" w:color="B6B6B6"/>
            </w:tcBorders>
          </w:tcPr>
          <w:p>
            <w:pPr>
              <w:spacing w:after="0"/>
              <w:rPr>
                <w:sz w:val="19"/>
                <w:szCs w:val="19"/>
                <w:color w:val="auto"/>
              </w:rPr>
            </w:pPr>
          </w:p>
        </w:tc>
        <w:tc>
          <w:tcPr>
            <w:tcW w:w="540" w:type="dxa"/>
            <w:vAlign w:val="bottom"/>
            <w:tcBorders>
              <w:bottom w:val="single" w:sz="8" w:color="B6B6B6"/>
            </w:tcBorders>
          </w:tcPr>
          <w:p>
            <w:pPr>
              <w:jc w:val="right"/>
              <w:spacing w:after="0"/>
              <w:rPr>
                <w:sz w:val="20"/>
                <w:szCs w:val="20"/>
                <w:color w:val="auto"/>
              </w:rPr>
            </w:pPr>
            <w:r>
              <w:rPr>
                <w:rFonts w:ascii="Arial" w:cs="Arial" w:eastAsia="Arial" w:hAnsi="Arial"/>
                <w:sz w:val="18"/>
                <w:szCs w:val="18"/>
                <w:b w:val="1"/>
                <w:bCs w:val="1"/>
                <w:color w:val="503C64"/>
              </w:rPr>
              <w:t>2024</w:t>
            </w:r>
          </w:p>
        </w:tc>
        <w:tc>
          <w:tcPr>
            <w:tcW w:w="1020" w:type="dxa"/>
            <w:vAlign w:val="bottom"/>
            <w:tcBorders>
              <w:bottom w:val="single" w:sz="8" w:color="B6B6B6"/>
            </w:tcBorders>
          </w:tcPr>
          <w:p>
            <w:pPr>
              <w:spacing w:after="0"/>
              <w:rPr>
                <w:sz w:val="19"/>
                <w:szCs w:val="19"/>
                <w:color w:val="auto"/>
              </w:rPr>
            </w:pPr>
          </w:p>
        </w:tc>
        <w:tc>
          <w:tcPr>
            <w:tcW w:w="280" w:type="dxa"/>
            <w:vAlign w:val="bottom"/>
            <w:tcBorders>
              <w:bottom w:val="single" w:sz="8" w:color="B6B6B6"/>
            </w:tcBorders>
          </w:tcPr>
          <w:p>
            <w:pPr>
              <w:spacing w:after="0"/>
              <w:rPr>
                <w:sz w:val="19"/>
                <w:szCs w:val="19"/>
                <w:color w:val="auto"/>
              </w:rPr>
            </w:pPr>
          </w:p>
        </w:tc>
        <w:tc>
          <w:tcPr>
            <w:tcW w:w="1300" w:type="dxa"/>
            <w:vAlign w:val="bottom"/>
            <w:tcBorders>
              <w:bottom w:val="single" w:sz="8" w:color="B6B6B6"/>
            </w:tcBorders>
            <w:gridSpan w:val="2"/>
          </w:tcPr>
          <w:p>
            <w:pPr>
              <w:jc w:val="right"/>
              <w:ind w:right="10"/>
              <w:spacing w:after="0"/>
              <w:rPr>
                <w:sz w:val="20"/>
                <w:szCs w:val="20"/>
                <w:color w:val="auto"/>
              </w:rPr>
            </w:pPr>
            <w:r>
              <w:rPr>
                <w:rFonts w:ascii="Arial" w:cs="Arial" w:eastAsia="Arial" w:hAnsi="Arial"/>
                <w:sz w:val="18"/>
                <w:szCs w:val="18"/>
                <w:b w:val="1"/>
                <w:bCs w:val="1"/>
                <w:color w:val="503C64"/>
              </w:rPr>
              <w:t>2023</w:t>
            </w:r>
          </w:p>
        </w:tc>
        <w:tc>
          <w:tcPr>
            <w:tcW w:w="94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0" w:type="dxa"/>
            <w:vAlign w:val="bottom"/>
            <w:vMerge w:val="restart"/>
          </w:tcPr>
          <w:p>
            <w:pPr>
              <w:jc w:val="center"/>
              <w:ind w:right="435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Borders>
              <w:bottom w:val="single" w:sz="8" w:color="B6B6B6"/>
            </w:tcBorders>
          </w:tcPr>
          <w:p>
            <w:pPr>
              <w:spacing w:after="0"/>
              <w:rPr>
                <w:sz w:val="16"/>
                <w:szCs w:val="16"/>
                <w:color w:val="auto"/>
              </w:rPr>
            </w:pPr>
          </w:p>
        </w:tc>
        <w:tc>
          <w:tcPr>
            <w:tcW w:w="720" w:type="dxa"/>
            <w:vAlign w:val="bottom"/>
            <w:tcBorders>
              <w:bottom w:val="single" w:sz="8" w:color="B6B6B6"/>
            </w:tcBorders>
          </w:tcPr>
          <w:p>
            <w:pPr>
              <w:jc w:val="right"/>
              <w:ind w:right="74"/>
              <w:spacing w:after="0"/>
              <w:rPr>
                <w:sz w:val="20"/>
                <w:szCs w:val="20"/>
                <w:color w:val="auto"/>
              </w:rPr>
            </w:pPr>
            <w:r>
              <w:rPr>
                <w:rFonts w:ascii="Arial" w:cs="Arial" w:eastAsia="Arial" w:hAnsi="Arial"/>
                <w:sz w:val="14"/>
                <w:szCs w:val="14"/>
                <w:b w:val="1"/>
                <w:bCs w:val="1"/>
                <w:color w:val="503C64"/>
              </w:rPr>
              <w:t>GAAP</w:t>
            </w:r>
          </w:p>
        </w:tc>
        <w:tc>
          <w:tcPr>
            <w:tcW w:w="54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256"/>
              <w:spacing w:after="0"/>
              <w:rPr>
                <w:sz w:val="20"/>
                <w:szCs w:val="20"/>
                <w:color w:val="auto"/>
              </w:rPr>
            </w:pPr>
            <w:r>
              <w:rPr>
                <w:rFonts w:ascii="Arial" w:cs="Arial" w:eastAsia="Arial" w:hAnsi="Arial"/>
                <w:sz w:val="14"/>
                <w:szCs w:val="14"/>
                <w:b w:val="1"/>
                <w:bCs w:val="1"/>
                <w:color w:val="503C64"/>
              </w:rPr>
              <w:t>Adjusted</w:t>
            </w:r>
          </w:p>
        </w:tc>
        <w:tc>
          <w:tcPr>
            <w:tcW w:w="28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53"/>
              <w:spacing w:after="0"/>
              <w:rPr>
                <w:sz w:val="20"/>
                <w:szCs w:val="20"/>
                <w:color w:val="auto"/>
              </w:rPr>
            </w:pPr>
            <w:r>
              <w:rPr>
                <w:rFonts w:ascii="Arial" w:cs="Arial" w:eastAsia="Arial" w:hAnsi="Arial"/>
                <w:sz w:val="14"/>
                <w:szCs w:val="14"/>
                <w:b w:val="1"/>
                <w:bCs w:val="1"/>
                <w:color w:val="503C64"/>
              </w:rPr>
              <w:t>GAAP</w:t>
            </w:r>
          </w:p>
        </w:tc>
        <w:tc>
          <w:tcPr>
            <w:tcW w:w="30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1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503C64"/>
              </w:rPr>
              <w:t>(Dollars 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0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784.2</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rPr>
              <w:t>589.7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608.9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28"/>
        </w:trPr>
        <w:tc>
          <w:tcPr>
            <w:tcW w:w="6200" w:type="dxa"/>
            <w:vAlign w:val="bottom"/>
          </w:tcPr>
          <w:p>
            <w:pPr>
              <w:jc w:val="center"/>
              <w:ind w:right="43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89 %</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94 %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0" w:type="dxa"/>
            <w:vAlign w:val="bottom"/>
          </w:tcPr>
          <w:p>
            <w:pPr>
              <w:spacing w:after="0"/>
              <w:rPr>
                <w:sz w:val="1"/>
                <w:szCs w:val="1"/>
                <w:color w:val="auto"/>
              </w:rPr>
            </w:pPr>
          </w:p>
        </w:tc>
      </w:tr>
      <w:tr>
        <w:trPr>
          <w:trHeight w:val="232"/>
        </w:trPr>
        <w:tc>
          <w:tcPr>
            <w:tcW w:w="620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172.3</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rPr>
              <w:t>162.4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154.8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7"/>
        </w:trPr>
        <w:tc>
          <w:tcPr>
            <w:tcW w:w="6200" w:type="dxa"/>
            <w:vAlign w:val="bottom"/>
          </w:tcPr>
          <w:p>
            <w:pPr>
              <w:jc w:val="center"/>
              <w:ind w:right="43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20 %</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Twelve Months Ended</w:t>
      </w:r>
    </w:p>
    <w:p>
      <w:pPr>
        <w:spacing w:after="0" w:line="31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total compensation and benefits were $784.2 million for the twelve months ended December 31, 2024, compared to $608.9 million for the prior year period. Current year compensation expense includes the second quarter impact of the one-time accelerated vesting of certain partnership unit awards (the “Vesting Acceleration”). Adjusted total compensation and benefits were $589.7 million for the twelve months ended December 31, 2024, compared to $454.6 million for the same period a year ago. The increase in total compensation and benefits results from a larger bonus accrual on an absolute dollar basis associated with higher revenues partially offset by a lower compensation margin.</w:t>
      </w:r>
    </w:p>
    <w:p>
      <w:pPr>
        <w:spacing w:after="0" w:line="208"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GAAP non-compensation expenses were $172.3 million for the twelve months ended December 31, 2024, compared to $154.8 million for the prior year period. Adjusted non-compensation expenses were $162.4 million for the twelve months ended December 31, 2024, compared to $144.0 million for the same period a year ago. The increase in non-compensation expenses was largely driven by an increase in professional fees including consulting fees tied to revenue contribution, higher depreciation expense tied to office renovations and relocations, and bad debt write-offs, partially offset by lower rent and occupancy costs.</w:t>
      </w:r>
    </w:p>
    <w:p>
      <w:pPr>
        <w:spacing w:after="0" w:line="200" w:lineRule="exact"/>
        <w:rPr>
          <w:sz w:val="20"/>
          <w:szCs w:val="20"/>
          <w:color w:val="auto"/>
        </w:rPr>
      </w:pPr>
    </w:p>
    <w:p>
      <w:pPr>
        <w:spacing w:after="0" w:line="290"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6240" w:type="dxa"/>
            <w:vAlign w:val="bottom"/>
          </w:tcPr>
          <w:p>
            <w:pPr>
              <w:spacing w:after="0"/>
              <w:rPr>
                <w:sz w:val="20"/>
                <w:szCs w:val="20"/>
                <w:color w:val="auto"/>
              </w:rPr>
            </w:pPr>
          </w:p>
        </w:tc>
        <w:tc>
          <w:tcPr>
            <w:tcW w:w="260" w:type="dxa"/>
            <w:vAlign w:val="bottom"/>
            <w:tcBorders>
              <w:bottom w:val="single" w:sz="8" w:color="B6B6B6"/>
            </w:tcBorders>
          </w:tcPr>
          <w:p>
            <w:pPr>
              <w:spacing w:after="0"/>
              <w:rPr>
                <w:sz w:val="20"/>
                <w:szCs w:val="20"/>
                <w:color w:val="auto"/>
              </w:rPr>
            </w:pPr>
          </w:p>
        </w:tc>
        <w:tc>
          <w:tcPr>
            <w:tcW w:w="720" w:type="dxa"/>
            <w:vAlign w:val="bottom"/>
            <w:tcBorders>
              <w:bottom w:val="single" w:sz="8" w:color="B6B6B6"/>
            </w:tcBorders>
          </w:tcPr>
          <w:p>
            <w:pPr>
              <w:spacing w:after="0"/>
              <w:rPr>
                <w:sz w:val="20"/>
                <w:szCs w:val="20"/>
                <w:color w:val="auto"/>
              </w:rPr>
            </w:pPr>
          </w:p>
        </w:tc>
        <w:tc>
          <w:tcPr>
            <w:tcW w:w="3080" w:type="dxa"/>
            <w:vAlign w:val="bottom"/>
            <w:tcBorders>
              <w:bottom w:val="single" w:sz="8" w:color="B6B6B6"/>
            </w:tcBorders>
            <w:gridSpan w:val="5"/>
          </w:tcPr>
          <w:p>
            <w:pPr>
              <w:jc w:val="right"/>
              <w:spacing w:after="0"/>
              <w:rPr>
                <w:sz w:val="20"/>
                <w:szCs w:val="20"/>
                <w:color w:val="auto"/>
              </w:rPr>
            </w:pPr>
            <w:r>
              <w:rPr>
                <w:rFonts w:ascii="Arial" w:cs="Arial" w:eastAsia="Arial" w:hAnsi="Arial"/>
                <w:sz w:val="18"/>
                <w:szCs w:val="18"/>
                <w:b w:val="1"/>
                <w:bCs w:val="1"/>
                <w:color w:val="503C64"/>
                <w:w w:val="99"/>
              </w:rPr>
              <w:t>Three Months Ended December 31,</w:t>
            </w:r>
          </w:p>
        </w:tc>
        <w:tc>
          <w:tcPr>
            <w:tcW w:w="9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B6B6B6"/>
            </w:tcBorders>
          </w:tcPr>
          <w:p>
            <w:pPr>
              <w:spacing w:after="0"/>
              <w:rPr>
                <w:sz w:val="19"/>
                <w:szCs w:val="19"/>
                <w:color w:val="auto"/>
              </w:rPr>
            </w:pPr>
          </w:p>
        </w:tc>
        <w:tc>
          <w:tcPr>
            <w:tcW w:w="260" w:type="dxa"/>
            <w:vAlign w:val="bottom"/>
            <w:tcBorders>
              <w:bottom w:val="single" w:sz="8" w:color="B6B6B6"/>
            </w:tcBorders>
          </w:tcPr>
          <w:p>
            <w:pPr>
              <w:spacing w:after="0"/>
              <w:rPr>
                <w:sz w:val="19"/>
                <w:szCs w:val="19"/>
                <w:color w:val="auto"/>
              </w:rPr>
            </w:pPr>
          </w:p>
        </w:tc>
        <w:tc>
          <w:tcPr>
            <w:tcW w:w="720" w:type="dxa"/>
            <w:vAlign w:val="bottom"/>
            <w:tcBorders>
              <w:bottom w:val="single" w:sz="8" w:color="B6B6B6"/>
            </w:tcBorders>
          </w:tcPr>
          <w:p>
            <w:pPr>
              <w:spacing w:after="0"/>
              <w:rPr>
                <w:sz w:val="19"/>
                <w:szCs w:val="19"/>
                <w:color w:val="auto"/>
              </w:rPr>
            </w:pP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8"/>
                <w:szCs w:val="18"/>
                <w:b w:val="1"/>
                <w:bCs w:val="1"/>
                <w:color w:val="503C64"/>
              </w:rPr>
              <w:t>2024</w:t>
            </w:r>
          </w:p>
        </w:tc>
        <w:tc>
          <w:tcPr>
            <w:tcW w:w="1000" w:type="dxa"/>
            <w:vAlign w:val="bottom"/>
            <w:tcBorders>
              <w:bottom w:val="single" w:sz="8" w:color="B6B6B6"/>
            </w:tcBorders>
          </w:tcPr>
          <w:p>
            <w:pPr>
              <w:spacing w:after="0"/>
              <w:rPr>
                <w:sz w:val="19"/>
                <w:szCs w:val="19"/>
                <w:color w:val="auto"/>
              </w:rPr>
            </w:pPr>
          </w:p>
        </w:tc>
        <w:tc>
          <w:tcPr>
            <w:tcW w:w="300" w:type="dxa"/>
            <w:vAlign w:val="bottom"/>
            <w:tcBorders>
              <w:bottom w:val="single" w:sz="8" w:color="B6B6B6"/>
            </w:tcBorders>
          </w:tcPr>
          <w:p>
            <w:pPr>
              <w:spacing w:after="0"/>
              <w:rPr>
                <w:sz w:val="19"/>
                <w:szCs w:val="19"/>
                <w:color w:val="auto"/>
              </w:rPr>
            </w:pPr>
          </w:p>
        </w:tc>
        <w:tc>
          <w:tcPr>
            <w:tcW w:w="126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2023</w:t>
            </w:r>
          </w:p>
        </w:tc>
        <w:tc>
          <w:tcPr>
            <w:tcW w:w="94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40" w:type="dxa"/>
            <w:vAlign w:val="bottom"/>
            <w:vMerge w:val="restart"/>
          </w:tcPr>
          <w:p>
            <w:pPr>
              <w:jc w:val="center"/>
              <w:ind w:right="4390"/>
              <w:spacing w:after="0"/>
              <w:rPr>
                <w:sz w:val="20"/>
                <w:szCs w:val="20"/>
                <w:color w:val="auto"/>
              </w:rPr>
            </w:pPr>
            <w:r>
              <w:rPr>
                <w:rFonts w:ascii="Arial" w:cs="Arial" w:eastAsia="Arial" w:hAnsi="Arial"/>
                <w:sz w:val="18"/>
                <w:szCs w:val="18"/>
                <w:b w:val="1"/>
                <w:bCs w:val="1"/>
                <w:color w:val="auto"/>
                <w:w w:val="99"/>
              </w:rPr>
              <w:t>Operating expenses</w:t>
            </w:r>
          </w:p>
        </w:tc>
        <w:tc>
          <w:tcPr>
            <w:tcW w:w="260" w:type="dxa"/>
            <w:vAlign w:val="bottom"/>
            <w:tcBorders>
              <w:bottom w:val="single" w:sz="8" w:color="B6B6B6"/>
            </w:tcBorders>
          </w:tcPr>
          <w:p>
            <w:pPr>
              <w:spacing w:after="0"/>
              <w:rPr>
                <w:sz w:val="16"/>
                <w:szCs w:val="16"/>
                <w:color w:val="auto"/>
              </w:rPr>
            </w:pPr>
          </w:p>
        </w:tc>
        <w:tc>
          <w:tcPr>
            <w:tcW w:w="720" w:type="dxa"/>
            <w:vAlign w:val="bottom"/>
            <w:tcBorders>
              <w:bottom w:val="single" w:sz="8" w:color="B6B6B6"/>
            </w:tcBorders>
          </w:tcPr>
          <w:p>
            <w:pPr>
              <w:jc w:val="right"/>
              <w:ind w:right="94"/>
              <w:spacing w:after="0"/>
              <w:rPr>
                <w:sz w:val="20"/>
                <w:szCs w:val="20"/>
                <w:color w:val="auto"/>
              </w:rPr>
            </w:pPr>
            <w:r>
              <w:rPr>
                <w:rFonts w:ascii="Arial" w:cs="Arial" w:eastAsia="Arial" w:hAnsi="Arial"/>
                <w:sz w:val="14"/>
                <w:szCs w:val="14"/>
                <w:b w:val="1"/>
                <w:bCs w:val="1"/>
                <w:color w:val="503C64"/>
              </w:rPr>
              <w:t>GAAP</w:t>
            </w:r>
          </w:p>
        </w:tc>
        <w:tc>
          <w:tcPr>
            <w:tcW w:w="52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236"/>
              <w:spacing w:after="0"/>
              <w:rPr>
                <w:sz w:val="20"/>
                <w:szCs w:val="20"/>
                <w:color w:val="auto"/>
              </w:rPr>
            </w:pPr>
            <w:r>
              <w:rPr>
                <w:rFonts w:ascii="Arial" w:cs="Arial" w:eastAsia="Arial" w:hAnsi="Arial"/>
                <w:sz w:val="14"/>
                <w:szCs w:val="14"/>
                <w:b w:val="1"/>
                <w:bCs w:val="1"/>
                <w:color w:val="503C64"/>
              </w:rPr>
              <w:t>Adjusted</w:t>
            </w:r>
          </w:p>
        </w:tc>
        <w:tc>
          <w:tcPr>
            <w:tcW w:w="3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3"/>
              <w:spacing w:after="0"/>
              <w:rPr>
                <w:sz w:val="20"/>
                <w:szCs w:val="20"/>
                <w:color w:val="auto"/>
              </w:rPr>
            </w:pPr>
            <w:r>
              <w:rPr>
                <w:rFonts w:ascii="Arial" w:cs="Arial" w:eastAsia="Arial" w:hAnsi="Arial"/>
                <w:sz w:val="14"/>
                <w:szCs w:val="14"/>
                <w:b w:val="1"/>
                <w:bCs w:val="1"/>
                <w:color w:val="503C64"/>
              </w:rPr>
              <w:t>GAAP</w:t>
            </w:r>
          </w:p>
        </w:tc>
        <w:tc>
          <w:tcPr>
            <w:tcW w:w="30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1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6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503C64"/>
              </w:rPr>
              <w:t>(Dollars 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4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156.1</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146.0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215.1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7"/>
        </w:trPr>
        <w:tc>
          <w:tcPr>
            <w:tcW w:w="6240" w:type="dxa"/>
            <w:vAlign w:val="bottom"/>
          </w:tcPr>
          <w:p>
            <w:pPr>
              <w:jc w:val="center"/>
              <w:ind w:right="4370"/>
              <w:spacing w:after="0"/>
              <w:rPr>
                <w:sz w:val="20"/>
                <w:szCs w:val="20"/>
                <w:color w:val="auto"/>
              </w:rPr>
            </w:pPr>
            <w:r>
              <w:rPr>
                <w:rFonts w:ascii="Arial" w:cs="Arial" w:eastAsia="Arial" w:hAnsi="Arial"/>
                <w:sz w:val="18"/>
                <w:szCs w:val="18"/>
                <w:i w:val="1"/>
                <w:iCs w:val="1"/>
                <w:color w:val="auto"/>
                <w:w w:val="99"/>
              </w:rPr>
              <w:t>% of Revenues</w:t>
            </w:r>
          </w:p>
        </w:tc>
        <w:tc>
          <w:tcPr>
            <w:tcW w:w="26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69 %</w:t>
            </w: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65 %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76 %</w:t>
            </w:r>
          </w:p>
        </w:tc>
        <w:tc>
          <w:tcPr>
            <w:tcW w:w="0" w:type="dxa"/>
            <w:vAlign w:val="bottom"/>
          </w:tcPr>
          <w:p>
            <w:pPr>
              <w:spacing w:after="0"/>
              <w:rPr>
                <w:sz w:val="1"/>
                <w:szCs w:val="1"/>
                <w:color w:val="auto"/>
              </w:rPr>
            </w:pPr>
          </w:p>
        </w:tc>
      </w:tr>
      <w:tr>
        <w:trPr>
          <w:trHeight w:val="232"/>
        </w:trPr>
        <w:tc>
          <w:tcPr>
            <w:tcW w:w="624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46.3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41.5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7"/>
        </w:trPr>
        <w:tc>
          <w:tcPr>
            <w:tcW w:w="6240" w:type="dxa"/>
            <w:vAlign w:val="bottom"/>
          </w:tcPr>
          <w:p>
            <w:pPr>
              <w:jc w:val="center"/>
              <w:ind w:right="4370"/>
              <w:spacing w:after="0"/>
              <w:rPr>
                <w:sz w:val="20"/>
                <w:szCs w:val="20"/>
                <w:color w:val="auto"/>
              </w:rPr>
            </w:pPr>
            <w:r>
              <w:rPr>
                <w:rFonts w:ascii="Arial" w:cs="Arial" w:eastAsia="Arial" w:hAnsi="Arial"/>
                <w:sz w:val="18"/>
                <w:szCs w:val="18"/>
                <w:i w:val="1"/>
                <w:iCs w:val="1"/>
                <w:color w:val="auto"/>
                <w:w w:val="99"/>
              </w:rPr>
              <w:t>% of Revenues</w:t>
            </w:r>
          </w:p>
        </w:tc>
        <w:tc>
          <w:tcPr>
            <w:tcW w:w="26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21 %</w:t>
            </w: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1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total compensation and benefits were $156.1 million for the fourth quarter of 2024, compared to $215.1 million for the fourth quarter of 2023. Adjusted total compensation and benefits were $146.0 million for the fourth quarter of 2024, compared to $162.7 million for the same period a year ago. The decrease in total compensation and benefits was the result of a lower compensation margin. On a GAAP basis, the decrease was also the result of business realignment costs in the fourth quarter of 2023 which did not recur in the 2024 period and a reduction in equity amortization expense related to the one-time Vesting Acceleration of partnership units.</w:t>
      </w:r>
    </w:p>
    <w:p>
      <w:pPr>
        <w:spacing w:after="0" w:line="208"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non-compensation expenses were $48.2 million for the fourth quarter of 2024, compared to $41.5 million for the fourth quarter of 2023. Adjusted non-compensation expenses were $46.3 million for the fourth quarter of 2024, compared to $38.9 million for the same period a year ago. The increase in non-compensation expenses was largely driven by an increase in professional fees including consulting fees tied to revenue contribution, partially offset by a decrease in legal spend, and an increase in general, administrative and other expenses.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68.3% of the operating partnership (“PWP OpCo”)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results for the period were subject to U.S. corporate income tax. For the twelve months ended December 31, 2024, the effective tax rate for adjusted if-converted net income was 30%. This tax rate includes a $4.0 million benefit from the vesting of restricted stock units at a share price higher than the grant price.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As of December 31, 2024, PWP had $407.4 million of cash and short-term investments in U.S. Treasury securities. The Firm has no outstanding indebtedness and has an undrawn revolving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During the twelve months ended December 31, 2024, PWP returned $281.9 million in aggregate to our equity holders through:</w:t>
      </w:r>
    </w:p>
    <w:p>
      <w:pPr>
        <w:spacing w:after="0" w:line="67" w:lineRule="exact"/>
        <w:rPr>
          <w:sz w:val="20"/>
          <w:szCs w:val="20"/>
          <w:color w:val="auto"/>
        </w:rPr>
      </w:pPr>
    </w:p>
    <w:p>
      <w:pPr>
        <w:jc w:val="both"/>
        <w:ind w:firstLine="8"/>
        <w:spacing w:after="0" w:line="316" w:lineRule="auto"/>
        <w:tabs>
          <w:tab w:leader="none" w:pos="2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settlement of 6,149,211 PWP OpCo units in connection with the one-time Vesting Acceleration at a price of $14.07 per unit and the net settlement of 4,128,086 share equivalents at an average price per share of $17.05; (ii) the settlement of exchanges of 3,204,979 PWP OpCo units for cash at $20.98 per unit and the repurchase of 1,000,000 shares pursuant to a contractual repurchase right at $15.00 per share; (iii) the payment of $22.5 million in distributions to limited partners; and (iv) the payment of aggregate dividends of $20.3 million to Class A common stockholders. Certain tax withholding amounts related to the above activity were accrued and unpaid as of December 31, 2024 and are expected to be paid within one year.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2024, there were 59.2 million shares of Class A common stock and 27.5 million partnership units outstanding.</w:t>
      </w:r>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March 10, 2025 to Class A common stockholders of record on February 18,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8"/>
        <w:spacing w:after="0" w:line="25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Conference Call and Webcast</w:t>
      </w:r>
    </w:p>
    <w:p>
      <w:pPr>
        <w:spacing w:after="0" w:line="31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Management will host a webcast and conference call on Friday, February 7, 2025 at 9:00 am ET to discuss Perella Weinberg’s financial results for the full year and fourth quarter ended December 31, 2024.</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Domestic: (800) 267-6316</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International: (203) 518-9783</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Conference ID: PWPQ424</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February 14, 2025. To access the replay, dial (800) 839-5689 (Domestic) or (402) 220-2570 (International). The replay can also be accessed on the Investors section of the Company’s website at https://investors.pwpartners.com/.</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February 7, 2025,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San Francisco, Paris, Los Angeles, Chicago, Calgary, Denver, and Munich. The financial information of Perella Weinberg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23, 2024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Three Months Ended</w:t>
            </w:r>
          </w:p>
        </w:tc>
        <w:tc>
          <w:tcPr>
            <w:tcW w:w="20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503C64"/>
              </w:rPr>
              <w:t>Twelve Months Ended</w:t>
            </w:r>
          </w:p>
        </w:tc>
      </w:tr>
      <w:tr>
        <w:trPr>
          <w:trHeight w:val="223"/>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w w:val="99"/>
              </w:rPr>
              <w:t>December 31,</w:t>
            </w:r>
          </w:p>
        </w:tc>
        <w:tc>
          <w:tcPr>
            <w:tcW w:w="200" w:type="dxa"/>
            <w:vAlign w:val="bottom"/>
          </w:tcPr>
          <w:p>
            <w:pPr>
              <w:spacing w:after="0"/>
              <w:rPr>
                <w:sz w:val="19"/>
                <w:szCs w:val="19"/>
                <w:color w:val="auto"/>
              </w:rPr>
            </w:pPr>
          </w:p>
        </w:tc>
        <w:tc>
          <w:tcPr>
            <w:tcW w:w="22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503C64"/>
              </w:rPr>
              <w:t>December 31,</w:t>
            </w: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r>
      <w:tr>
        <w:trPr>
          <w:trHeight w:val="195"/>
        </w:trPr>
        <w:tc>
          <w:tcPr>
            <w:tcW w:w="606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2023</w:t>
            </w:r>
          </w:p>
        </w:tc>
      </w:tr>
      <w:tr>
        <w:trPr>
          <w:trHeight w:val="210"/>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225,672</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212,678</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878,039</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648,652</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133,298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165,521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525,941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426,572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22,766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258,296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182,375</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156,064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215,121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784,237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608,947</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17,092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49,262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39,640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8,972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35,721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34,462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6,018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24,325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26,891</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6,041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19,823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19,030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22,824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20,103</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5,061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20,379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14,679</w:t>
            </w:r>
          </w:p>
        </w:tc>
      </w:tr>
      <w:tr>
        <w:trPr>
          <w:trHeight w:val="217"/>
        </w:trPr>
        <w:tc>
          <w:tcPr>
            <w:tcW w:w="60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204,303</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256,644</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956,571</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763,752</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21,369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(78,532)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(115,100)</w:t>
            </w: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6,418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10,277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6,418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10,277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2,280</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27,787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(68,255)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(112,820)</w:t>
            </w:r>
          </w:p>
        </w:tc>
      </w:tr>
      <w:tr>
        <w:trPr>
          <w:trHeight w:val="216"/>
        </w:trPr>
        <w:tc>
          <w:tcPr>
            <w:tcW w:w="60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(4,871)</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(1,532)</w:t>
            </w:r>
          </w:p>
        </w:tc>
        <w:tc>
          <w:tcPr>
            <w:tcW w:w="80" w:type="dxa"/>
            <w:vAlign w:val="bottom"/>
            <w:tcBorders>
              <w:bottom w:val="single" w:sz="8" w:color="B6B6B6"/>
            </w:tcBorders>
          </w:tcPr>
          <w:p>
            <w:pPr>
              <w:spacing w:after="0"/>
              <w:rPr>
                <w:sz w:val="18"/>
                <w:szCs w:val="18"/>
                <w:color w:val="auto"/>
              </w:rPr>
            </w:pPr>
          </w:p>
        </w:tc>
        <w:tc>
          <w:tcPr>
            <w:tcW w:w="20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19"/>
              <w:spacing w:after="0"/>
              <w:rPr>
                <w:sz w:val="20"/>
                <w:szCs w:val="20"/>
                <w:color w:val="auto"/>
              </w:rPr>
            </w:pPr>
            <w:r>
              <w:rPr>
                <w:rFonts w:ascii="Arial" w:cs="Arial" w:eastAsia="Arial" w:hAnsi="Arial"/>
                <w:sz w:val="16"/>
                <w:szCs w:val="16"/>
                <w:color w:val="auto"/>
              </w:rPr>
              <w:t>21,089</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(980)</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32,658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(42,412)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(89,344)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(111,840)</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11,884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(24,616)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(94,617)</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20,774</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(10,410)</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(64,728)</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(17,223)</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0.36</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(0.40)</w:t>
            </w: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(0.49)</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(1.33)</w:t>
            </w:r>
          </w:p>
        </w:tc>
      </w:tr>
      <w:tr>
        <w:trPr>
          <w:trHeight w:val="218"/>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58,023,204</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44,884,305</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53,187,995</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43,273,939</w:t>
            </w:r>
          </w:p>
        </w:tc>
      </w:tr>
      <w:tr>
        <w:trPr>
          <w:trHeight w:val="217"/>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73,093,466</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87,329,418</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53,187,995</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86,779,052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12"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160" w:type="dxa"/>
            <w:vAlign w:val="bottom"/>
            <w:gridSpan w:val="3"/>
          </w:tcPr>
          <w:p>
            <w:pPr>
              <w:jc w:val="right"/>
              <w:ind w:right="288"/>
              <w:spacing w:after="0"/>
              <w:rPr>
                <w:sz w:val="20"/>
                <w:szCs w:val="20"/>
                <w:color w:val="auto"/>
              </w:rPr>
            </w:pPr>
            <w:r>
              <w:rPr>
                <w:rFonts w:ascii="Arial" w:cs="Arial" w:eastAsia="Arial" w:hAnsi="Arial"/>
                <w:sz w:val="16"/>
                <w:szCs w:val="16"/>
                <w:b w:val="1"/>
                <w:bCs w:val="1"/>
                <w:color w:val="503C64"/>
              </w:rPr>
              <w:t>Twelve Months Ended</w:t>
            </w:r>
          </w:p>
        </w:tc>
      </w:tr>
      <w:tr>
        <w:trPr>
          <w:trHeight w:val="223"/>
        </w:trPr>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503C64"/>
              </w:rPr>
              <w:t>December 31,</w:t>
            </w:r>
          </w:p>
        </w:tc>
        <w:tc>
          <w:tcPr>
            <w:tcW w:w="220" w:type="dxa"/>
            <w:vAlign w:val="bottom"/>
          </w:tcPr>
          <w:p>
            <w:pPr>
              <w:spacing w:after="0"/>
              <w:rPr>
                <w:sz w:val="19"/>
                <w:szCs w:val="19"/>
                <w:color w:val="auto"/>
              </w:rPr>
            </w:pPr>
          </w:p>
        </w:tc>
        <w:tc>
          <w:tcPr>
            <w:tcW w:w="2160" w:type="dxa"/>
            <w:vAlign w:val="bottom"/>
            <w:gridSpan w:val="3"/>
          </w:tcPr>
          <w:p>
            <w:pPr>
              <w:jc w:val="right"/>
              <w:ind w:right="588"/>
              <w:spacing w:after="0"/>
              <w:rPr>
                <w:sz w:val="20"/>
                <w:szCs w:val="20"/>
                <w:color w:val="auto"/>
              </w:rPr>
            </w:pPr>
            <w:r>
              <w:rPr>
                <w:rFonts w:ascii="Arial" w:cs="Arial" w:eastAsia="Arial" w:hAnsi="Arial"/>
                <w:sz w:val="16"/>
                <w:szCs w:val="16"/>
                <w:b w:val="1"/>
                <w:bCs w:val="1"/>
                <w:color w:val="503C64"/>
              </w:rPr>
              <w:t>December 31,</w:t>
            </w:r>
          </w:p>
        </w:tc>
      </w:tr>
      <w:tr>
        <w:trPr>
          <w:trHeight w:val="21"/>
        </w:trPr>
        <w:tc>
          <w:tcPr>
            <w:tcW w:w="61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r>
      <w:tr>
        <w:trPr>
          <w:trHeight w:val="195"/>
        </w:trPr>
        <w:tc>
          <w:tcPr>
            <w:tcW w:w="618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2023</w:t>
            </w:r>
          </w:p>
        </w:tc>
      </w:tr>
      <w:tr>
        <w:trPr>
          <w:trHeight w:val="19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156,064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215,121</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784,237</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608,947</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(68,647)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(10,082)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(47,609)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(48,435)</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(25,768)</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(37,265)</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145,982</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162,652</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589,665</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454,600</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48,239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41,523</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172,334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154,805</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(6,580)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(286)</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(3,340)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(3,392)</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w:t>
            </w:r>
          </w:p>
        </w:tc>
      </w:tr>
      <w:tr>
        <w:trPr>
          <w:trHeight w:val="196"/>
        </w:trPr>
        <w:tc>
          <w:tcPr>
            <w:tcW w:w="618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(7)</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46,308</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38,861</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162,414</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144,024</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21,369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(43,966)</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(78,532)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(115,100)</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68,647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10,082</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47,609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25,768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37,265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3,392</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809</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33,382</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11,165</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125,960</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50,028</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27,787</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(43,944)</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(68,255)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(112,820)</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68,647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10,082</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47,609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25,768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37,265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2"/>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3,392</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809</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264</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2,763</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39,838</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11,225</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136,501</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55,071</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(4,871)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(1,532)</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21,089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(980)</w:t>
            </w:r>
          </w:p>
        </w:tc>
      </w:tr>
      <w:tr>
        <w:trPr>
          <w:trHeight w:val="204"/>
        </w:trPr>
        <w:tc>
          <w:tcPr>
            <w:tcW w:w="618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18,725</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3,329</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11,375</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8,594</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13,854</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1,797</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32,464</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7,614</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32,658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(42,412)</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(89,344)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(111,840)</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68,647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10,082</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47,609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25,768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37,265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3,392</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2,763</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(18,725)</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(3,329)</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(11,375)</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(8,594)</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25,984</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9,428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104,037</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47,457</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36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503C64"/>
              </w:rPr>
              <w:t>Twelve Months Ended</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503C64"/>
              </w:rPr>
              <w:t>December 31,</w:t>
            </w:r>
          </w:p>
        </w:tc>
        <w:tc>
          <w:tcPr>
            <w:tcW w:w="220" w:type="dxa"/>
            <w:vAlign w:val="bottom"/>
          </w:tcPr>
          <w:p>
            <w:pPr>
              <w:spacing w:after="0"/>
              <w:rPr>
                <w:sz w:val="19"/>
                <w:szCs w:val="19"/>
                <w:color w:val="auto"/>
              </w:rPr>
            </w:pPr>
          </w:p>
        </w:tc>
        <w:tc>
          <w:tcPr>
            <w:tcW w:w="2360" w:type="dxa"/>
            <w:vAlign w:val="bottom"/>
            <w:gridSpan w:val="3"/>
          </w:tcPr>
          <w:p>
            <w:pPr>
              <w:jc w:val="right"/>
              <w:ind w:right="688"/>
              <w:spacing w:after="0"/>
              <w:rPr>
                <w:sz w:val="20"/>
                <w:szCs w:val="20"/>
                <w:color w:val="auto"/>
              </w:rPr>
            </w:pPr>
            <w:r>
              <w:rPr>
                <w:rFonts w:ascii="Arial" w:cs="Arial" w:eastAsia="Arial" w:hAnsi="Arial"/>
                <w:sz w:val="16"/>
                <w:szCs w:val="16"/>
                <w:b w:val="1"/>
                <w:bCs w:val="1"/>
                <w:color w:val="503C64"/>
              </w:rPr>
              <w:t>December 31,</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67"/>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67"/>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25,984</w:t>
            </w:r>
          </w:p>
        </w:tc>
        <w:tc>
          <w:tcPr>
            <w:tcW w:w="3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9,428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104,037</w:t>
            </w:r>
          </w:p>
        </w:tc>
        <w:tc>
          <w:tcPr>
            <w:tcW w:w="3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47,457</w:t>
            </w: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rPr>
                <w:sz w:val="20"/>
                <w:szCs w:val="20"/>
                <w:color w:val="auto"/>
              </w:rPr>
            </w:pPr>
            <w:r>
              <w:rPr>
                <w:rFonts w:ascii="Arial" w:cs="Arial" w:eastAsia="Arial" w:hAnsi="Arial"/>
                <w:sz w:val="14"/>
                <w:szCs w:val="14"/>
                <w:color w:val="auto"/>
              </w:rPr>
              <w:t>Less: Adjusted income tax expense</w:t>
            </w:r>
          </w:p>
        </w:tc>
        <w:tc>
          <w:tcPr>
            <w:tcW w:w="200" w:type="dxa"/>
            <w:vAlign w:val="bottom"/>
          </w:tcPr>
          <w:p>
            <w:pPr>
              <w:spacing w:after="0"/>
              <w:rPr>
                <w:sz w:val="16"/>
                <w:szCs w:val="16"/>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(13,854)</w:t>
            </w:r>
          </w:p>
        </w:tc>
        <w:tc>
          <w:tcPr>
            <w:tcW w:w="32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7"/>
              <w:spacing w:after="0"/>
              <w:rPr>
                <w:sz w:val="20"/>
                <w:szCs w:val="20"/>
                <w:color w:val="auto"/>
              </w:rPr>
            </w:pPr>
            <w:r>
              <w:rPr>
                <w:rFonts w:ascii="Arial" w:cs="Arial" w:eastAsia="Arial" w:hAnsi="Arial"/>
                <w:sz w:val="14"/>
                <w:szCs w:val="14"/>
                <w:color w:val="auto"/>
              </w:rPr>
              <w:t>(32,464)</w:t>
            </w:r>
          </w:p>
        </w:tc>
        <w:tc>
          <w:tcPr>
            <w:tcW w:w="32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(7,614)</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(10)</w:t>
            </w:r>
          </w:p>
        </w:tc>
        <w:tc>
          <w:tcPr>
            <w:tcW w:w="20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87"/>
              <w:spacing w:after="0"/>
              <w:rPr>
                <w:sz w:val="20"/>
                <w:szCs w:val="20"/>
                <w:color w:val="auto"/>
              </w:rPr>
            </w:pPr>
            <w:r>
              <w:rPr>
                <w:rFonts w:ascii="Arial" w:cs="Arial" w:eastAsia="Arial" w:hAnsi="Arial"/>
                <w:sz w:val="14"/>
                <w:szCs w:val="14"/>
                <w:color w:val="auto"/>
              </w:rPr>
              <w:t>13,422</w:t>
            </w:r>
          </w:p>
        </w:tc>
        <w:tc>
          <w:tcPr>
            <w:tcW w:w="32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3,543</w:t>
            </w:r>
          </w:p>
        </w:tc>
        <w:tc>
          <w:tcPr>
            <w:tcW w:w="80" w:type="dxa"/>
            <w:vAlign w:val="bottom"/>
            <w:tcBorders>
              <w:bottom w:val="single" w:sz="8" w:color="B6B6B6"/>
            </w:tcBorders>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87"/>
              <w:spacing w:after="0"/>
              <w:rPr>
                <w:sz w:val="20"/>
                <w:szCs w:val="20"/>
                <w:color w:val="auto"/>
              </w:rPr>
            </w:pPr>
            <w:r>
              <w:rPr>
                <w:rFonts w:ascii="Arial" w:cs="Arial" w:eastAsia="Arial" w:hAnsi="Arial"/>
                <w:sz w:val="14"/>
                <w:szCs w:val="14"/>
                <w:color w:val="auto"/>
              </w:rPr>
              <w:t>41,345</w:t>
            </w:r>
          </w:p>
        </w:tc>
        <w:tc>
          <w:tcPr>
            <w:tcW w:w="32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14,994</w:t>
            </w:r>
          </w:p>
        </w:tc>
        <w:tc>
          <w:tcPr>
            <w:tcW w:w="0" w:type="dxa"/>
            <w:vAlign w:val="bottom"/>
          </w:tcPr>
          <w:p>
            <w:pPr>
              <w:spacing w:after="0"/>
              <w:rPr>
                <w:sz w:val="1"/>
                <w:szCs w:val="1"/>
                <w:color w:val="auto"/>
              </w:rPr>
            </w:pPr>
          </w:p>
        </w:tc>
      </w:tr>
      <w:tr>
        <w:trPr>
          <w:trHeight w:val="196"/>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26,416</w:t>
            </w:r>
          </w:p>
        </w:tc>
        <w:tc>
          <w:tcPr>
            <w:tcW w:w="3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7,682</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95,156</w:t>
            </w:r>
          </w:p>
        </w:tc>
        <w:tc>
          <w:tcPr>
            <w:tcW w:w="3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40,077</w:t>
            </w:r>
          </w:p>
        </w:tc>
        <w:tc>
          <w:tcPr>
            <w:tcW w:w="0" w:type="dxa"/>
            <w:vAlign w:val="bottom"/>
          </w:tcPr>
          <w:p>
            <w:pPr>
              <w:spacing w:after="0"/>
              <w:rPr>
                <w:sz w:val="1"/>
                <w:szCs w:val="1"/>
                <w:color w:val="auto"/>
              </w:rPr>
            </w:pPr>
          </w:p>
        </w:tc>
      </w:tr>
      <w:tr>
        <w:trPr>
          <w:trHeight w:val="356"/>
        </w:trPr>
        <w:tc>
          <w:tcPr>
            <w:tcW w:w="578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20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Arial" w:cs="Arial" w:eastAsia="Arial" w:hAnsi="Arial"/>
                <w:sz w:val="14"/>
                <w:szCs w:val="14"/>
                <w:color w:val="auto"/>
              </w:rPr>
              <w:t>73,093,466</w:t>
            </w:r>
          </w:p>
        </w:tc>
        <w:tc>
          <w:tcPr>
            <w:tcW w:w="32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87,329,418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Arial" w:cs="Arial" w:eastAsia="Arial" w:hAnsi="Arial"/>
                <w:sz w:val="14"/>
                <w:szCs w:val="14"/>
                <w:color w:val="auto"/>
              </w:rPr>
              <w:t>53,187,995</w:t>
            </w:r>
          </w:p>
        </w:tc>
        <w:tc>
          <w:tcPr>
            <w:tcW w:w="32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86,779,052</w:t>
            </w:r>
          </w:p>
        </w:tc>
        <w:tc>
          <w:tcPr>
            <w:tcW w:w="0" w:type="dxa"/>
            <w:vAlign w:val="bottom"/>
          </w:tcPr>
          <w:p>
            <w:pPr>
              <w:spacing w:after="0"/>
              <w:rPr>
                <w:sz w:val="1"/>
                <w:szCs w:val="1"/>
                <w:color w:val="auto"/>
              </w:rPr>
            </w:pPr>
          </w:p>
        </w:tc>
      </w:tr>
      <w:tr>
        <w:trPr>
          <w:trHeight w:val="158"/>
        </w:trPr>
        <w:tc>
          <w:tcPr>
            <w:tcW w:w="5780" w:type="dxa"/>
            <w:vAlign w:val="bottom"/>
          </w:tcPr>
          <w:p>
            <w:pPr>
              <w:ind w:left="20"/>
              <w:spacing w:after="0" w:line="159" w:lineRule="exact"/>
              <w:rPr>
                <w:sz w:val="20"/>
                <w:szCs w:val="20"/>
                <w:color w:val="auto"/>
              </w:rPr>
            </w:pPr>
            <w:r>
              <w:rPr>
                <w:rFonts w:ascii="Arial" w:cs="Arial" w:eastAsia="Arial" w:hAnsi="Arial"/>
                <w:sz w:val="14"/>
                <w:szCs w:val="14"/>
                <w:color w:val="auto"/>
              </w:rPr>
              <w:t>Weighted average number of incremental shares from assumed vesting of RSUs and</w:t>
            </w:r>
          </w:p>
        </w:tc>
        <w:tc>
          <w:tcPr>
            <w:tcW w:w="200" w:type="dxa"/>
            <w:vAlign w:val="bottom"/>
          </w:tcPr>
          <w:p>
            <w:pPr>
              <w:spacing w:after="0"/>
              <w:rPr>
                <w:sz w:val="13"/>
                <w:szCs w:val="13"/>
                <w:color w:val="auto"/>
              </w:rPr>
            </w:pPr>
          </w:p>
        </w:tc>
        <w:tc>
          <w:tcPr>
            <w:tcW w:w="104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4,059,875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87"/>
              <w:spacing w:after="0"/>
              <w:rPr>
                <w:sz w:val="20"/>
                <w:szCs w:val="20"/>
                <w:color w:val="auto"/>
              </w:rPr>
            </w:pPr>
            <w:r>
              <w:rPr>
                <w:rFonts w:ascii="Arial" w:cs="Arial" w:eastAsia="Arial" w:hAnsi="Arial"/>
                <w:sz w:val="14"/>
                <w:szCs w:val="14"/>
                <w:color w:val="auto"/>
              </w:rPr>
              <w:t>10,941,161</w:t>
            </w:r>
          </w:p>
        </w:tc>
        <w:tc>
          <w:tcPr>
            <w:tcW w:w="32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2,186,189</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(11)</w:t>
            </w: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(12)</w:t>
            </w:r>
          </w:p>
        </w:tc>
        <w:tc>
          <w:tcPr>
            <w:tcW w:w="20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87"/>
              <w:spacing w:after="0"/>
              <w:rPr>
                <w:sz w:val="20"/>
                <w:szCs w:val="20"/>
                <w:color w:val="auto"/>
              </w:rPr>
            </w:pPr>
            <w:r>
              <w:rPr>
                <w:rFonts w:ascii="Arial" w:cs="Arial" w:eastAsia="Arial" w:hAnsi="Arial"/>
                <w:sz w:val="14"/>
                <w:szCs w:val="14"/>
                <w:color w:val="auto"/>
              </w:rPr>
              <w:t>29,403,257</w:t>
            </w: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87"/>
              <w:spacing w:after="0"/>
              <w:rPr>
                <w:sz w:val="20"/>
                <w:szCs w:val="20"/>
                <w:color w:val="auto"/>
              </w:rPr>
            </w:pPr>
            <w:r>
              <w:rPr>
                <w:rFonts w:ascii="Arial" w:cs="Arial" w:eastAsia="Arial" w:hAnsi="Arial"/>
                <w:sz w:val="14"/>
                <w:szCs w:val="14"/>
                <w:color w:val="auto"/>
              </w:rPr>
              <w:t>34,924,483</w:t>
            </w:r>
          </w:p>
        </w:tc>
        <w:tc>
          <w:tcPr>
            <w:tcW w:w="32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00" w:type="dxa"/>
            <w:vAlign w:val="bottom"/>
            <w:shd w:val="clear" w:color="auto" w:fill="E3E1E9"/>
          </w:tcPr>
          <w:p>
            <w:pPr>
              <w:spacing w:after="0"/>
              <w:rPr>
                <w:sz w:val="17"/>
                <w:szCs w:val="17"/>
                <w:color w:val="auto"/>
              </w:rPr>
            </w:pPr>
          </w:p>
        </w:tc>
        <w:tc>
          <w:tcPr>
            <w:tcW w:w="104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102,496,723</w:t>
            </w:r>
          </w:p>
        </w:tc>
        <w:tc>
          <w:tcPr>
            <w:tcW w:w="320" w:type="dxa"/>
            <w:vAlign w:val="bottom"/>
            <w:shd w:val="clear" w:color="auto" w:fill="E3E1E9"/>
          </w:tcPr>
          <w:p>
            <w:pPr>
              <w:spacing w:after="0"/>
              <w:rPr>
                <w:sz w:val="17"/>
                <w:szCs w:val="17"/>
                <w:color w:val="auto"/>
              </w:rPr>
            </w:pP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91,389,293</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spacing w:after="0"/>
              <w:rPr>
                <w:sz w:val="17"/>
                <w:szCs w:val="17"/>
                <w:color w:val="auto"/>
              </w:rPr>
            </w:pPr>
          </w:p>
        </w:tc>
        <w:tc>
          <w:tcPr>
            <w:tcW w:w="100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99,053,639</w:t>
            </w:r>
          </w:p>
        </w:tc>
        <w:tc>
          <w:tcPr>
            <w:tcW w:w="320" w:type="dxa"/>
            <w:vAlign w:val="bottom"/>
            <w:shd w:val="clear" w:color="auto" w:fill="E3E1E9"/>
          </w:tcPr>
          <w:p>
            <w:pPr>
              <w:spacing w:after="0"/>
              <w:rPr>
                <w:sz w:val="17"/>
                <w:szCs w:val="17"/>
                <w:color w:val="auto"/>
              </w:rPr>
            </w:pP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88,965,241</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0.26</w:t>
            </w:r>
          </w:p>
        </w:tc>
        <w:tc>
          <w:tcPr>
            <w:tcW w:w="3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0.08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87"/>
              <w:spacing w:after="0"/>
              <w:rPr>
                <w:sz w:val="20"/>
                <w:szCs w:val="20"/>
                <w:color w:val="auto"/>
              </w:rPr>
            </w:pPr>
            <w:r>
              <w:rPr>
                <w:rFonts w:ascii="Arial" w:cs="Arial" w:eastAsia="Arial" w:hAnsi="Arial"/>
                <w:sz w:val="14"/>
                <w:szCs w:val="14"/>
                <w:color w:val="auto"/>
              </w:rPr>
              <w:t>0.96</w:t>
            </w:r>
          </w:p>
        </w:tc>
        <w:tc>
          <w:tcPr>
            <w:tcW w:w="3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500" w:type="dxa"/>
            <w:vAlign w:val="bottom"/>
          </w:tcPr>
          <w:p>
            <w:pPr>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(13)</w:t>
            </w: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0"/>
        </w:trPr>
        <w:tc>
          <w:tcPr>
            <w:tcW w:w="4500" w:type="dxa"/>
            <w:vAlign w:val="bottom"/>
          </w:tcPr>
          <w:p>
            <w:pPr>
              <w:spacing w:after="0"/>
              <w:rPr>
                <w:sz w:val="20"/>
                <w:szCs w:val="20"/>
                <w:color w:val="auto"/>
              </w:rPr>
            </w:pPr>
            <w:r>
              <w:rPr>
                <w:rFonts w:ascii="Arial" w:cs="Arial" w:eastAsia="Arial" w:hAnsi="Arial"/>
                <w:sz w:val="14"/>
                <w:szCs w:val="14"/>
                <w:color w:val="auto"/>
              </w:rPr>
              <w:t>GAAP operating income (loss) margin</w:t>
            </w:r>
          </w:p>
        </w:tc>
        <w:tc>
          <w:tcPr>
            <w:tcW w:w="2920" w:type="dxa"/>
            <w:vAlign w:val="bottom"/>
          </w:tcPr>
          <w:p>
            <w:pPr>
              <w:jc w:val="right"/>
              <w:ind w:right="348"/>
              <w:spacing w:after="0"/>
              <w:rPr>
                <w:sz w:val="20"/>
                <w:szCs w:val="20"/>
                <w:color w:val="auto"/>
              </w:rPr>
            </w:pPr>
            <w:r>
              <w:rPr>
                <w:rFonts w:ascii="Arial" w:cs="Arial" w:eastAsia="Arial" w:hAnsi="Arial"/>
                <w:sz w:val="14"/>
                <w:szCs w:val="14"/>
                <w:color w:val="auto"/>
              </w:rPr>
              <w:t>9.5 %</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(20.7)%</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(8.9)%</w:t>
            </w:r>
          </w:p>
        </w:tc>
        <w:tc>
          <w:tcPr>
            <w:tcW w:w="9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02"/>
        </w:trPr>
        <w:tc>
          <w:tcPr>
            <w:tcW w:w="4500" w:type="dxa"/>
            <w:vAlign w:val="bottom"/>
          </w:tcPr>
          <w:p>
            <w:pPr>
              <w:spacing w:after="0"/>
              <w:rPr>
                <w:sz w:val="20"/>
                <w:szCs w:val="20"/>
                <w:color w:val="auto"/>
              </w:rPr>
            </w:pPr>
            <w:r>
              <w:rPr>
                <w:rFonts w:ascii="Arial" w:cs="Arial" w:eastAsia="Arial" w:hAnsi="Arial"/>
                <w:sz w:val="14"/>
                <w:szCs w:val="14"/>
                <w:color w:val="auto"/>
              </w:rPr>
              <w:t>Adjusted operating income margin</w:t>
            </w:r>
          </w:p>
        </w:tc>
        <w:tc>
          <w:tcPr>
            <w:tcW w:w="2920" w:type="dxa"/>
            <w:vAlign w:val="bottom"/>
          </w:tcPr>
          <w:p>
            <w:pPr>
              <w:jc w:val="right"/>
              <w:ind w:right="348"/>
              <w:spacing w:after="0"/>
              <w:rPr>
                <w:sz w:val="20"/>
                <w:szCs w:val="20"/>
                <w:color w:val="auto"/>
              </w:rPr>
            </w:pPr>
            <w:r>
              <w:rPr>
                <w:rFonts w:ascii="Arial" w:cs="Arial" w:eastAsia="Arial" w:hAnsi="Arial"/>
                <w:sz w:val="14"/>
                <w:szCs w:val="14"/>
                <w:color w:val="auto"/>
              </w:rPr>
              <w:t>14.8 %</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5.2 %</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14.3 %</w:t>
            </w:r>
          </w:p>
        </w:tc>
        <w:tc>
          <w:tcPr>
            <w:tcW w:w="920" w:type="dxa"/>
            <w:vAlign w:val="bottom"/>
          </w:tcPr>
          <w:p>
            <w:pPr>
              <w:jc w:val="right"/>
              <w:spacing w:after="0"/>
              <w:rPr>
                <w:sz w:val="20"/>
                <w:szCs w:val="20"/>
                <w:color w:val="auto"/>
              </w:rPr>
            </w:pPr>
            <w:r>
              <w:rPr>
                <w:rFonts w:ascii="Arial" w:cs="Arial" w:eastAsia="Arial" w:hAnsi="Arial"/>
                <w:sz w:val="14"/>
                <w:szCs w:val="14"/>
                <w:color w:val="auto"/>
              </w:rPr>
              <w:t>7.7 %</w:t>
            </w:r>
          </w:p>
        </w:tc>
      </w:tr>
      <w:tr>
        <w:trPr>
          <w:trHeight w:val="203"/>
        </w:trPr>
        <w:tc>
          <w:tcPr>
            <w:tcW w:w="4500" w:type="dxa"/>
            <w:vAlign w:val="bottom"/>
          </w:tcPr>
          <w:p>
            <w:pPr>
              <w:spacing w:after="0"/>
              <w:rPr>
                <w:sz w:val="20"/>
                <w:szCs w:val="20"/>
                <w:color w:val="auto"/>
              </w:rPr>
            </w:pPr>
            <w:r>
              <w:rPr>
                <w:rFonts w:ascii="Arial" w:cs="Arial" w:eastAsia="Arial" w:hAnsi="Arial"/>
                <w:sz w:val="14"/>
                <w:szCs w:val="14"/>
                <w:color w:val="auto"/>
              </w:rPr>
              <w:t>GAAP compensation ratio</w:t>
            </w:r>
          </w:p>
        </w:tc>
        <w:tc>
          <w:tcPr>
            <w:tcW w:w="2920" w:type="dxa"/>
            <w:vAlign w:val="bottom"/>
          </w:tcPr>
          <w:p>
            <w:pPr>
              <w:jc w:val="right"/>
              <w:ind w:right="348"/>
              <w:spacing w:after="0"/>
              <w:rPr>
                <w:sz w:val="20"/>
                <w:szCs w:val="20"/>
                <w:color w:val="auto"/>
              </w:rPr>
            </w:pPr>
            <w:r>
              <w:rPr>
                <w:rFonts w:ascii="Arial" w:cs="Arial" w:eastAsia="Arial" w:hAnsi="Arial"/>
                <w:sz w:val="14"/>
                <w:szCs w:val="14"/>
                <w:color w:val="auto"/>
              </w:rPr>
              <w:t>69 %</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101 %</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89 %</w:t>
            </w:r>
          </w:p>
        </w:tc>
        <w:tc>
          <w:tcPr>
            <w:tcW w:w="920" w:type="dxa"/>
            <w:vAlign w:val="bottom"/>
          </w:tcPr>
          <w:p>
            <w:pPr>
              <w:jc w:val="right"/>
              <w:spacing w:after="0"/>
              <w:rPr>
                <w:sz w:val="20"/>
                <w:szCs w:val="20"/>
                <w:color w:val="auto"/>
              </w:rPr>
            </w:pPr>
            <w:r>
              <w:rPr>
                <w:rFonts w:ascii="Arial" w:cs="Arial" w:eastAsia="Arial" w:hAnsi="Arial"/>
                <w:sz w:val="14"/>
                <w:szCs w:val="14"/>
                <w:color w:val="auto"/>
              </w:rPr>
              <w:t>94 %</w:t>
            </w:r>
          </w:p>
        </w:tc>
      </w:tr>
      <w:tr>
        <w:trPr>
          <w:trHeight w:val="203"/>
        </w:trPr>
        <w:tc>
          <w:tcPr>
            <w:tcW w:w="4500" w:type="dxa"/>
            <w:vAlign w:val="bottom"/>
          </w:tcPr>
          <w:p>
            <w:pPr>
              <w:spacing w:after="0"/>
              <w:rPr>
                <w:sz w:val="20"/>
                <w:szCs w:val="20"/>
                <w:color w:val="auto"/>
              </w:rPr>
            </w:pPr>
            <w:r>
              <w:rPr>
                <w:rFonts w:ascii="Arial" w:cs="Arial" w:eastAsia="Arial" w:hAnsi="Arial"/>
                <w:sz w:val="14"/>
                <w:szCs w:val="14"/>
                <w:color w:val="auto"/>
              </w:rPr>
              <w:t>Adjusted compensation ratio</w:t>
            </w:r>
          </w:p>
        </w:tc>
        <w:tc>
          <w:tcPr>
            <w:tcW w:w="2920" w:type="dxa"/>
            <w:vAlign w:val="bottom"/>
          </w:tcPr>
          <w:p>
            <w:pPr>
              <w:jc w:val="right"/>
              <w:ind w:right="348"/>
              <w:spacing w:after="0"/>
              <w:rPr>
                <w:sz w:val="20"/>
                <w:szCs w:val="20"/>
                <w:color w:val="auto"/>
              </w:rPr>
            </w:pPr>
            <w:r>
              <w:rPr>
                <w:rFonts w:ascii="Arial" w:cs="Arial" w:eastAsia="Arial" w:hAnsi="Arial"/>
                <w:sz w:val="14"/>
                <w:szCs w:val="14"/>
                <w:color w:val="auto"/>
              </w:rPr>
              <w:t>65 %</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76 %</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67 %</w:t>
            </w:r>
          </w:p>
        </w:tc>
        <w:tc>
          <w:tcPr>
            <w:tcW w:w="92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203"/>
        </w:trPr>
        <w:tc>
          <w:tcPr>
            <w:tcW w:w="4500" w:type="dxa"/>
            <w:vAlign w:val="bottom"/>
          </w:tcPr>
          <w:p>
            <w:pPr>
              <w:spacing w:after="0"/>
              <w:rPr>
                <w:sz w:val="20"/>
                <w:szCs w:val="20"/>
                <w:color w:val="auto"/>
              </w:rPr>
            </w:pPr>
            <w:r>
              <w:rPr>
                <w:rFonts w:ascii="Arial" w:cs="Arial" w:eastAsia="Arial" w:hAnsi="Arial"/>
                <w:sz w:val="14"/>
                <w:szCs w:val="14"/>
                <w:color w:val="auto"/>
              </w:rPr>
              <w:t>GAAP effective tax rate</w:t>
            </w:r>
          </w:p>
        </w:tc>
        <w:tc>
          <w:tcPr>
            <w:tcW w:w="2920" w:type="dxa"/>
            <w:vAlign w:val="bottom"/>
          </w:tcPr>
          <w:p>
            <w:pPr>
              <w:jc w:val="right"/>
              <w:ind w:right="348"/>
              <w:spacing w:after="0"/>
              <w:rPr>
                <w:sz w:val="20"/>
                <w:szCs w:val="20"/>
                <w:color w:val="auto"/>
              </w:rPr>
            </w:pPr>
            <w:r>
              <w:rPr>
                <w:rFonts w:ascii="Arial" w:cs="Arial" w:eastAsia="Arial" w:hAnsi="Arial"/>
                <w:sz w:val="14"/>
                <w:szCs w:val="14"/>
                <w:color w:val="auto"/>
              </w:rPr>
              <w:t>(18)%</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3 %</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(31)%</w:t>
            </w:r>
          </w:p>
        </w:tc>
        <w:tc>
          <w:tcPr>
            <w:tcW w:w="92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03"/>
        </w:trPr>
        <w:tc>
          <w:tcPr>
            <w:tcW w:w="4500" w:type="dxa"/>
            <w:vAlign w:val="bottom"/>
          </w:tcPr>
          <w:p>
            <w:pPr>
              <w:spacing w:after="0"/>
              <w:rPr>
                <w:sz w:val="20"/>
                <w:szCs w:val="20"/>
                <w:color w:val="auto"/>
              </w:rPr>
            </w:pPr>
            <w:r>
              <w:rPr>
                <w:rFonts w:ascii="Arial" w:cs="Arial" w:eastAsia="Arial" w:hAnsi="Arial"/>
                <w:sz w:val="14"/>
                <w:szCs w:val="14"/>
                <w:color w:val="auto"/>
              </w:rPr>
              <w:t>Adjusted if-converted effective tax rate</w:t>
            </w:r>
          </w:p>
        </w:tc>
        <w:tc>
          <w:tcPr>
            <w:tcW w:w="2920" w:type="dxa"/>
            <w:vAlign w:val="bottom"/>
          </w:tcPr>
          <w:p>
            <w:pPr>
              <w:jc w:val="right"/>
              <w:ind w:right="348"/>
              <w:spacing w:after="0"/>
              <w:rPr>
                <w:sz w:val="20"/>
                <w:szCs w:val="20"/>
                <w:color w:val="auto"/>
              </w:rPr>
            </w:pPr>
            <w:r>
              <w:rPr>
                <w:rFonts w:ascii="Arial" w:cs="Arial" w:eastAsia="Arial" w:hAnsi="Arial"/>
                <w:sz w:val="14"/>
                <w:szCs w:val="14"/>
                <w:color w:val="auto"/>
              </w:rPr>
              <w:t>34 %</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32 %</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30 %</w:t>
            </w:r>
          </w:p>
        </w:tc>
        <w:tc>
          <w:tcPr>
            <w:tcW w:w="920" w:type="dxa"/>
            <w:vAlign w:val="bottom"/>
          </w:tcPr>
          <w:p>
            <w:pPr>
              <w:jc w:val="right"/>
              <w:spacing w:after="0"/>
              <w:rPr>
                <w:sz w:val="20"/>
                <w:szCs w:val="20"/>
                <w:color w:val="auto"/>
              </w:rPr>
            </w:pPr>
            <w:r>
              <w:rPr>
                <w:rFonts w:ascii="Arial" w:cs="Arial" w:eastAsia="Arial" w:hAnsi="Arial"/>
                <w:sz w:val="14"/>
                <w:szCs w:val="14"/>
                <w:color w:val="auto"/>
              </w:rPr>
              <w:t>27 %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16"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legacy awards granted to certain partners prior to the business combination that closed on June 24, 2021 (the “Business Combination”) and the amortization of awards granted by PWP Professional Partners LP (the “Professional Partners Awards”), which were subject to the Vesting Acceleration in the second quarter of 2024. The vesting of these awards did not economically dilute PWP shareholders’ interests relative to the interests of other investors in PWP OpCo. The legacy awards were fully amortized as of September 30, 2023.</w:t>
      </w:r>
    </w:p>
    <w:p>
      <w:pPr>
        <w:spacing w:after="0" w:line="113" w:lineRule="exact"/>
        <w:rPr>
          <w:rFonts w:ascii="Arial" w:cs="Arial" w:eastAsia="Arial" w:hAnsi="Arial"/>
          <w:sz w:val="20"/>
          <w:szCs w:val="20"/>
          <w:color w:val="auto"/>
        </w:rPr>
      </w:pPr>
    </w:p>
    <w:p>
      <w:pPr>
        <w:jc w:val="both"/>
        <w:ind w:left="500" w:hanging="492"/>
        <w:spacing w:after="0" w:line="318"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the Business Combination process and reorganization, as well as employment taxes for these RSUs, PSUs, and certain Professional Partners Awards. These expenses were outside of PWP’s normal and recurring bonus and compensation processes.</w:t>
      </w: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9" w:lineRule="auto"/>
        <w:tabs>
          <w:tab w:leader="none" w:pos="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2" w:right="339" w:bottom="1440" w:gutter="0" w:footer="0" w:header="0"/>
        </w:sectPr>
      </w:pPr>
    </w:p>
    <w:bookmarkStart w:id="13" w:name="page14"/>
    <w:bookmarkEnd w:id="1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1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13"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88"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61" w:lineRule="exact"/>
        <w:rPr>
          <w:rFonts w:ascii="Arial" w:cs="Arial" w:eastAsia="Arial" w:hAnsi="Arial"/>
          <w:sz w:val="20"/>
          <w:szCs w:val="20"/>
          <w:color w:val="auto"/>
        </w:rPr>
      </w:pPr>
    </w:p>
    <w:p>
      <w:pPr>
        <w:ind w:left="500" w:hanging="492"/>
        <w:spacing w:after="0"/>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Certain expenses incurred related to the previously reported settlement with the staff of the SEC (the “Settlement”).</w:t>
      </w:r>
    </w:p>
    <w:p>
      <w:pPr>
        <w:spacing w:after="0" w:line="296"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73"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Includes (i) the amortization of debt discounts and issuance costs for all periods presented, (ii) minimal charges related to the Vesting Acceleration for the twelve months ended December 31, 2024, (iii) the $1.25 million charge related to the Settlement and a non-operating loss on investment for the twelve months ended December 31, 2023.</w:t>
      </w:r>
    </w:p>
    <w:p>
      <w:pPr>
        <w:spacing w:after="0" w:line="102"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adjusted income tax expense represents the Company’s calculated tax expense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2" w:lineRule="exact"/>
        <w:rPr>
          <w:rFonts w:ascii="Arial" w:cs="Arial" w:eastAsia="Arial" w:hAnsi="Arial"/>
          <w:sz w:val="20"/>
          <w:szCs w:val="20"/>
          <w:color w:val="auto"/>
        </w:rPr>
      </w:pPr>
    </w:p>
    <w:p>
      <w:pPr>
        <w:jc w:val="both"/>
        <w:ind w:left="500" w:hanging="492"/>
        <w:spacing w:after="0" w:line="326" w:lineRule="auto"/>
        <w:tabs>
          <w:tab w:leader="none" w:pos="4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if-converted income tax expense represents the Company's calculated tax expense on adjusted non-GAAP results assuming the exchange of all PWP OpCo units for PWP Class A common stock, resulting in all of the Company’s results for the period being subject to corporate-level tax.</w:t>
      </w:r>
    </w:p>
    <w:p>
      <w:pPr>
        <w:spacing w:after="0" w:line="88" w:lineRule="exact"/>
        <w:rPr>
          <w:rFonts w:ascii="Arial" w:cs="Arial" w:eastAsia="Arial" w:hAnsi="Arial"/>
          <w:sz w:val="20"/>
          <w:szCs w:val="20"/>
          <w:color w:val="auto"/>
        </w:rPr>
      </w:pPr>
    </w:p>
    <w:p>
      <w:pPr>
        <w:ind w:left="480" w:hanging="472"/>
        <w:spacing w:after="0"/>
        <w:tabs>
          <w:tab w:leader="none" w:pos="4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the dilutive impact under the treasury stock method of unvested RSUs and PSUs.</w:t>
      </w:r>
    </w:p>
    <w:p>
      <w:pPr>
        <w:spacing w:after="0" w:line="215" w:lineRule="exact"/>
        <w:rPr>
          <w:rFonts w:ascii="Arial" w:cs="Arial" w:eastAsia="Arial" w:hAnsi="Arial"/>
          <w:sz w:val="20"/>
          <w:szCs w:val="20"/>
          <w:color w:val="auto"/>
        </w:rPr>
      </w:pPr>
    </w:p>
    <w:p>
      <w:pPr>
        <w:ind w:left="500" w:hanging="492"/>
        <w:spacing w:after="0" w:line="342" w:lineRule="auto"/>
        <w:tabs>
          <w:tab w:leader="none" w:pos="4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the dilutive impact assuming the vesting and conversion of all PWP OpCo units to shares of Class A common stock.</w:t>
      </w:r>
    </w:p>
    <w:p>
      <w:pPr>
        <w:spacing w:after="0" w:line="87" w:lineRule="exact"/>
        <w:rPr>
          <w:rFonts w:ascii="Arial" w:cs="Arial" w:eastAsia="Arial" w:hAnsi="Arial"/>
          <w:sz w:val="20"/>
          <w:szCs w:val="20"/>
          <w:color w:val="auto"/>
        </w:rPr>
      </w:pPr>
    </w:p>
    <w:p>
      <w:pPr>
        <w:ind w:left="500" w:hanging="492"/>
        <w:spacing w:after="0"/>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80" w:type="dxa"/>
            <w:vAlign w:val="bottom"/>
            <w:tcBorders>
              <w:bottom w:val="single" w:sz="8" w:color="B6B6B6"/>
            </w:tcBorders>
            <w:gridSpan w:val="4"/>
          </w:tcPr>
          <w:p>
            <w:pPr>
              <w:jc w:val="right"/>
              <w:ind w:right="48"/>
              <w:spacing w:after="0"/>
              <w:rPr>
                <w:sz w:val="20"/>
                <w:szCs w:val="20"/>
                <w:color w:val="auto"/>
              </w:rPr>
            </w:pPr>
            <w:r>
              <w:rPr>
                <w:rFonts w:ascii="Arial" w:cs="Arial" w:eastAsia="Arial" w:hAnsi="Arial"/>
                <w:sz w:val="14"/>
                <w:szCs w:val="14"/>
                <w:b w:val="1"/>
                <w:bCs w:val="1"/>
                <w:color w:val="503C64"/>
              </w:rPr>
              <w:t>Three Months Ended December 31, 2024</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17,092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(286)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16,806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8,972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8,972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6,018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6,018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6,041</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6,041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5,055</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5,055</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5,061</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20"/>
                <w:szCs w:val="20"/>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3,416</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48,239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(1,931)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46,308</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80" w:type="dxa"/>
            <w:vAlign w:val="bottom"/>
            <w:tcBorders>
              <w:bottom w:val="single" w:sz="8" w:color="B6B6B6"/>
            </w:tcBorders>
            <w:gridSpan w:val="4"/>
          </w:tcPr>
          <w:p>
            <w:pPr>
              <w:jc w:val="center"/>
              <w:ind w:left="108"/>
              <w:spacing w:after="0"/>
              <w:rPr>
                <w:sz w:val="20"/>
                <w:szCs w:val="20"/>
                <w:color w:val="auto"/>
              </w:rPr>
            </w:pPr>
            <w:r>
              <w:rPr>
                <w:rFonts w:ascii="Arial" w:cs="Arial" w:eastAsia="Arial" w:hAnsi="Arial"/>
                <w:sz w:val="14"/>
                <w:szCs w:val="14"/>
                <w:b w:val="1"/>
                <w:bCs w:val="1"/>
                <w:color w:val="503C64"/>
              </w:rPr>
              <w:t>Three Months Ended December 31, 2023</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13,094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(1,017)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12,077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8,612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8,612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6,033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6,033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5,396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5,396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3,877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3,877</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4,511</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2,866</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41,523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(2,662)</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38,861</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3880" w:type="dxa"/>
            <w:vAlign w:val="bottom"/>
            <w:tcBorders>
              <w:bottom w:val="single" w:sz="8" w:color="B6B6B6"/>
            </w:tcBorders>
            <w:gridSpan w:val="4"/>
          </w:tcPr>
          <w:p>
            <w:pPr>
              <w:jc w:val="center"/>
              <w:ind w:left="768"/>
              <w:spacing w:after="0"/>
              <w:rPr>
                <w:sz w:val="20"/>
                <w:szCs w:val="20"/>
                <w:color w:val="auto"/>
              </w:rPr>
            </w:pPr>
            <w:r>
              <w:rPr>
                <w:rFonts w:ascii="Arial" w:cs="Arial" w:eastAsia="Arial" w:hAnsi="Arial"/>
                <w:sz w:val="14"/>
                <w:szCs w:val="14"/>
                <w:b w:val="1"/>
                <w:bCs w:val="1"/>
                <w:color w:val="503C64"/>
              </w:rPr>
              <w:t>Twelve Months Ended December 31, 2024</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648"/>
              <w:spacing w:after="0"/>
              <w:rPr>
                <w:sz w:val="20"/>
                <w:szCs w:val="20"/>
                <w:color w:val="auto"/>
              </w:rPr>
            </w:pPr>
            <w:r>
              <w:rPr>
                <w:rFonts w:ascii="Arial" w:cs="Arial" w:eastAsia="Arial" w:hAnsi="Arial"/>
                <w:sz w:val="14"/>
                <w:szCs w:val="14"/>
                <w:b w:val="1"/>
                <w:bCs w:val="1"/>
                <w:color w:val="503C64"/>
              </w:rPr>
              <w:t>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49,262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(3,340) </w:t>
            </w:r>
            <w:r>
              <w:rPr>
                <w:rFonts w:ascii="Arial" w:cs="Arial" w:eastAsia="Arial" w:hAnsi="Arial"/>
                <w:sz w:val="12"/>
                <w:szCs w:val="12"/>
                <w:color w:val="auto"/>
              </w:rPr>
              <w:t>(1)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45,922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35,721</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35,721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24,325</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24,325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19,823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19,823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22,824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22,824</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20,379</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(6,580)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13,799</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172,334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(9,920)</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162,414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00" w:type="dxa"/>
            <w:vAlign w:val="bottom"/>
            <w:tcBorders>
              <w:bottom w:val="single" w:sz="8" w:color="B6B6B6"/>
            </w:tcBorders>
          </w:tcPr>
          <w:p>
            <w:pPr>
              <w:spacing w:after="0"/>
              <w:rPr>
                <w:sz w:val="17"/>
                <w:szCs w:val="17"/>
                <w:color w:val="auto"/>
              </w:rPr>
            </w:pPr>
          </w:p>
        </w:tc>
        <w:tc>
          <w:tcPr>
            <w:tcW w:w="3240" w:type="dxa"/>
            <w:vAlign w:val="bottom"/>
            <w:tcBorders>
              <w:bottom w:val="single" w:sz="8" w:color="B6B6B6"/>
            </w:tcBorders>
            <w:gridSpan w:val="4"/>
          </w:tcPr>
          <w:p>
            <w:pPr>
              <w:jc w:val="right"/>
              <w:ind w:right="28"/>
              <w:spacing w:after="0"/>
              <w:rPr>
                <w:sz w:val="20"/>
                <w:szCs w:val="20"/>
                <w:color w:val="auto"/>
              </w:rPr>
            </w:pPr>
            <w:r>
              <w:rPr>
                <w:rFonts w:ascii="Arial" w:cs="Arial" w:eastAsia="Arial" w:hAnsi="Arial"/>
                <w:sz w:val="14"/>
                <w:szCs w:val="14"/>
                <w:b w:val="1"/>
                <w:bCs w:val="1"/>
                <w:color w:val="503C64"/>
              </w:rPr>
              <w:t>Twelve Months Ended December 31, 2023</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4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39,640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(4,201) </w:t>
            </w:r>
            <w:r>
              <w:rPr>
                <w:rFonts w:ascii="Arial" w:cs="Arial" w:eastAsia="Arial" w:hAnsi="Arial"/>
                <w:sz w:val="12"/>
                <w:szCs w:val="12"/>
                <w:color w:val="auto"/>
              </w:rPr>
              <w:t>(3)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35,439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34,462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34,462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26,891</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26,891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19,030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19,030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20,103</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20,103</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B6B6B6"/>
            </w:tcBorders>
          </w:tcPr>
          <w:p>
            <w:pPr>
              <w:spacing w:after="0"/>
              <w:rPr>
                <w:sz w:val="17"/>
                <w:szCs w:val="17"/>
                <w:color w:val="auto"/>
              </w:rPr>
            </w:pPr>
          </w:p>
        </w:tc>
        <w:tc>
          <w:tcPr>
            <w:tcW w:w="7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14,679</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(6,580)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8,099</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154,805</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(10,781)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144,024</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09"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 and certain expenses related to the Settlement.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7"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2025-02-07T07:04:48Z</dcterms:created>
  <dcterms:modified xsi:type="dcterms:W3CDTF">2025-02-07T07:04:48Z</dcterms:modified>
</cp:coreProperties>
</file>